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49C6" w14:textId="3521003D" w:rsidR="00FE5821" w:rsidRPr="00CA1B0B" w:rsidRDefault="00CA1B0B" w:rsidP="00CA1B0B">
      <w:pPr>
        <w:jc w:val="center"/>
        <w:rPr>
          <w:b/>
          <w:bCs/>
          <w:sz w:val="28"/>
          <w:szCs w:val="28"/>
        </w:rPr>
      </w:pPr>
      <w:r w:rsidRPr="00CA1B0B">
        <w:rPr>
          <w:b/>
          <w:bCs/>
          <w:sz w:val="28"/>
          <w:szCs w:val="28"/>
        </w:rPr>
        <w:t>2020-2021 Meadow ISD Risk Mitigation Guidelines for Basketball UIL Contests</w:t>
      </w:r>
    </w:p>
    <w:p w14:paraId="4E13002C" w14:textId="49FA73EC" w:rsidR="00CA1B0B" w:rsidRDefault="00CA1B0B" w:rsidP="00CA1B0B">
      <w:pPr>
        <w:jc w:val="center"/>
        <w:rPr>
          <w:b/>
          <w:bCs/>
          <w:i/>
          <w:iCs/>
        </w:rPr>
      </w:pPr>
    </w:p>
    <w:p w14:paraId="6DFEAC1A" w14:textId="77777777" w:rsidR="00CA1B0B" w:rsidRPr="00A91917" w:rsidRDefault="00CA1B0B" w:rsidP="00CA1B0B">
      <w:pPr>
        <w:shd w:val="clear" w:color="auto" w:fill="F1F1F1"/>
        <w:spacing w:after="0" w:line="240" w:lineRule="auto"/>
        <w:rPr>
          <w:rFonts w:eastAsia="Times New Roman" w:cstheme="minorHAnsi"/>
          <w:color w:val="000000"/>
        </w:rPr>
      </w:pPr>
      <w:r w:rsidRPr="00A91917">
        <w:rPr>
          <w:rFonts w:eastAsia="Times New Roman" w:cstheme="minorHAnsi"/>
          <w:b/>
          <w:bCs/>
          <w:color w:val="000000"/>
        </w:rPr>
        <w:t>Face Coverings- Executive Order GA-29</w:t>
      </w:r>
    </w:p>
    <w:p w14:paraId="5E1D4240" w14:textId="77777777" w:rsidR="00CA1B0B" w:rsidRPr="00A91917" w:rsidRDefault="00CA1B0B" w:rsidP="00CA1B0B">
      <w:pPr>
        <w:shd w:val="clear" w:color="auto" w:fill="F1F1F1"/>
        <w:spacing w:after="0" w:line="240" w:lineRule="auto"/>
        <w:rPr>
          <w:rFonts w:eastAsia="Times New Roman" w:cstheme="minorHAnsi"/>
          <w:color w:val="000000"/>
        </w:rPr>
      </w:pPr>
      <w:r w:rsidRPr="00A91917">
        <w:rPr>
          <w:rFonts w:eastAsia="Times New Roman" w:cstheme="minorHAnsi"/>
          <w:b/>
          <w:bCs/>
          <w:color w:val="000000"/>
          <w:u w:val="single"/>
        </w:rPr>
        <w:t>Executive Order GA-29</w:t>
      </w:r>
      <w:r w:rsidRPr="00A91917">
        <w:rPr>
          <w:rFonts w:eastAsia="Times New Roman" w:cstheme="minorHAnsi"/>
          <w:b/>
          <w:bCs/>
          <w:color w:val="000000"/>
        </w:rPr>
        <w:t>, regarding face coverings, applies to all UIL activities effective July 3, 2020. This includes the 2020-2021 school year. As the public health situation changes, and/or if subsequent Executive Orders are issued by Governor Greg Abbott, these guidelines may be further modified.</w:t>
      </w:r>
    </w:p>
    <w:p w14:paraId="2383852B" w14:textId="77777777" w:rsidR="00CA1B0B" w:rsidRPr="00A91917" w:rsidRDefault="00CA1B0B" w:rsidP="00CA1B0B">
      <w:pPr>
        <w:numPr>
          <w:ilvl w:val="0"/>
          <w:numId w:val="1"/>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For the purposes of this document, face coverings include non-medical grade disposable face masks, cloth face coverings (over the nose and mouth), or full-face shields to protect eyes, nose, and mouth. </w:t>
      </w:r>
    </w:p>
    <w:p w14:paraId="07987607" w14:textId="77777777" w:rsidR="00CA1B0B" w:rsidRPr="00A91917" w:rsidRDefault="00CA1B0B" w:rsidP="00CA1B0B">
      <w:pPr>
        <w:numPr>
          <w:ilvl w:val="0"/>
          <w:numId w:val="1"/>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All employees, parents, visitors and students ten years of age or older must wear face coverings or face shields upon entry to an area where UIL activities are being conducted and when not actively practicing or playing in the contest, unless an exception listed below applies.</w:t>
      </w:r>
    </w:p>
    <w:p w14:paraId="7EF48EE1" w14:textId="77777777" w:rsidR="00CA1B0B" w:rsidRPr="00A91917" w:rsidRDefault="00CA1B0B" w:rsidP="00CA1B0B">
      <w:pPr>
        <w:numPr>
          <w:ilvl w:val="0"/>
          <w:numId w:val="1"/>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The face coverings requirements do not apply to a school in a county that meets the requirements of paragraph 11 of </w:t>
      </w:r>
      <w:hyperlink r:id="rId5" w:history="1">
        <w:r w:rsidRPr="00A91917">
          <w:rPr>
            <w:rFonts w:eastAsia="Times New Roman" w:cstheme="minorHAnsi"/>
            <w:color w:val="336699"/>
            <w:highlight w:val="lightGray"/>
            <w:u w:val="single"/>
          </w:rPr>
          <w:t>Executive Order GA-29</w:t>
        </w:r>
      </w:hyperlink>
      <w:r w:rsidRPr="00A91917">
        <w:rPr>
          <w:rFonts w:eastAsia="Times New Roman" w:cstheme="minorHAnsi"/>
          <w:color w:val="000000"/>
          <w:highlight w:val="lightGray"/>
        </w:rPr>
        <w:t>, unless the local school system chooses to implement these requirements locally. Even in these circumstances, the wearing of face coverings or face shields is strongly encouraged.</w:t>
      </w:r>
    </w:p>
    <w:p w14:paraId="071A519E" w14:textId="77777777" w:rsidR="00CA1B0B" w:rsidRPr="00A91917" w:rsidRDefault="00CA1B0B" w:rsidP="00CA1B0B">
      <w:pPr>
        <w:shd w:val="clear" w:color="auto" w:fill="F1F1F1"/>
        <w:spacing w:after="0" w:line="240" w:lineRule="auto"/>
        <w:rPr>
          <w:rFonts w:eastAsia="Times New Roman" w:cstheme="minorHAnsi"/>
          <w:color w:val="000000"/>
        </w:rPr>
      </w:pPr>
      <w:r w:rsidRPr="00A91917">
        <w:rPr>
          <w:rFonts w:eastAsia="Times New Roman" w:cstheme="minorHAnsi"/>
          <w:color w:val="000000"/>
        </w:rPr>
        <w:t>Exceptions to the wearing of face coverings or face shields include:</w:t>
      </w:r>
    </w:p>
    <w:p w14:paraId="17B9C1E3" w14:textId="77777777" w:rsidR="00CA1B0B" w:rsidRPr="00A91917" w:rsidRDefault="00CA1B0B" w:rsidP="00CA1B0B">
      <w:pPr>
        <w:numPr>
          <w:ilvl w:val="0"/>
          <w:numId w:val="2"/>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 xml:space="preserve">Any person with a medical condition or disability that prevents wearing a face </w:t>
      </w:r>
      <w:proofErr w:type="gramStart"/>
      <w:r w:rsidRPr="00A91917">
        <w:rPr>
          <w:rFonts w:eastAsia="Times New Roman" w:cstheme="minorHAnsi"/>
          <w:color w:val="000000"/>
          <w:highlight w:val="lightGray"/>
        </w:rPr>
        <w:t>covering;</w:t>
      </w:r>
      <w:proofErr w:type="gramEnd"/>
    </w:p>
    <w:p w14:paraId="4C4FF0BD" w14:textId="77777777" w:rsidR="00CA1B0B" w:rsidRPr="00A91917" w:rsidRDefault="00CA1B0B" w:rsidP="00CA1B0B">
      <w:pPr>
        <w:numPr>
          <w:ilvl w:val="0"/>
          <w:numId w:val="2"/>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 xml:space="preserve">While a person is consuming food or </w:t>
      </w:r>
      <w:proofErr w:type="gramStart"/>
      <w:r w:rsidRPr="00A91917">
        <w:rPr>
          <w:rFonts w:eastAsia="Times New Roman" w:cstheme="minorHAnsi"/>
          <w:color w:val="000000"/>
          <w:highlight w:val="lightGray"/>
        </w:rPr>
        <w:t>drink;</w:t>
      </w:r>
      <w:proofErr w:type="gramEnd"/>
    </w:p>
    <w:p w14:paraId="31D3633E" w14:textId="77777777" w:rsidR="00CA1B0B" w:rsidRPr="00A91917" w:rsidRDefault="00CA1B0B" w:rsidP="00CA1B0B">
      <w:pPr>
        <w:numPr>
          <w:ilvl w:val="0"/>
          <w:numId w:val="2"/>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While the person is in a swimming pool, lake, or similar body of water.</w:t>
      </w:r>
    </w:p>
    <w:p w14:paraId="15932089" w14:textId="77777777" w:rsidR="00CA1B0B" w:rsidRPr="00A91917" w:rsidRDefault="00CA1B0B" w:rsidP="00CA1B0B">
      <w:pPr>
        <w:numPr>
          <w:ilvl w:val="0"/>
          <w:numId w:val="2"/>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When a congregating group of persons maintains at least 6 feet of social distancing; or</w:t>
      </w:r>
    </w:p>
    <w:p w14:paraId="4853E789" w14:textId="77777777" w:rsidR="00CA1B0B" w:rsidRPr="00A91917" w:rsidRDefault="00CA1B0B" w:rsidP="00CA1B0B">
      <w:pPr>
        <w:numPr>
          <w:ilvl w:val="0"/>
          <w:numId w:val="2"/>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Any other reason or circumstance indicated under </w:t>
      </w:r>
      <w:hyperlink r:id="rId6" w:history="1">
        <w:r w:rsidRPr="00A91917">
          <w:rPr>
            <w:rFonts w:eastAsia="Times New Roman" w:cstheme="minorHAnsi"/>
            <w:color w:val="336699"/>
            <w:highlight w:val="lightGray"/>
            <w:u w:val="single"/>
          </w:rPr>
          <w:t>Executive Order GA-29.</w:t>
        </w:r>
      </w:hyperlink>
    </w:p>
    <w:p w14:paraId="66B9C003" w14:textId="77777777" w:rsidR="00CA1B0B" w:rsidRPr="00A91917" w:rsidRDefault="00CA1B0B" w:rsidP="00CA1B0B">
      <w:pPr>
        <w:shd w:val="clear" w:color="auto" w:fill="F1F1F1"/>
        <w:spacing w:after="0" w:line="240" w:lineRule="auto"/>
        <w:rPr>
          <w:rFonts w:eastAsia="Times New Roman" w:cstheme="minorHAnsi"/>
          <w:color w:val="000000"/>
        </w:rPr>
      </w:pPr>
      <w:r w:rsidRPr="00A91917">
        <w:rPr>
          <w:rFonts w:eastAsia="Times New Roman" w:cstheme="minorHAnsi"/>
          <w:b/>
          <w:bCs/>
          <w:color w:val="000000"/>
        </w:rPr>
        <w:t>Spectators, Audiences, Fans and Media</w:t>
      </w:r>
    </w:p>
    <w:p w14:paraId="7F082640" w14:textId="77777777" w:rsidR="00CA1B0B" w:rsidRPr="00A91917" w:rsidRDefault="00CA1B0B" w:rsidP="00CA1B0B">
      <w:pPr>
        <w:shd w:val="clear" w:color="auto" w:fill="F1F1F1"/>
        <w:spacing w:after="0" w:line="240" w:lineRule="auto"/>
        <w:rPr>
          <w:rFonts w:eastAsia="Times New Roman" w:cstheme="minorHAnsi"/>
          <w:color w:val="000000"/>
        </w:rPr>
      </w:pPr>
      <w:r w:rsidRPr="00A91917">
        <w:rPr>
          <w:rFonts w:eastAsia="Times New Roman" w:cstheme="minorHAnsi"/>
          <w:color w:val="000000"/>
        </w:rPr>
        <w:t>Schools may allow spectators to attend games, contests, or events within a maximum 50% capacity limitation, provided that appropriate spacing between spectators is maintained according to the protocol, and according to the following:</w:t>
      </w:r>
    </w:p>
    <w:p w14:paraId="76B06C6B" w14:textId="77777777" w:rsidR="00CA1B0B" w:rsidRPr="00A91917" w:rsidRDefault="00CA1B0B" w:rsidP="00CA1B0B">
      <w:pPr>
        <w:numPr>
          <w:ilvl w:val="0"/>
          <w:numId w:val="3"/>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Schools and/or host sites should post visible signs and/or messaging stating any individuals who are confirmed to have, suspected of having, are experiencing symptoms of, or have been in close contact with an individual who has been confirmed to have COVID-19 should not enter the facility.</w:t>
      </w:r>
    </w:p>
    <w:p w14:paraId="693C38C8" w14:textId="2F991282" w:rsidR="00CA1B0B" w:rsidRPr="004E590B" w:rsidRDefault="00CA1B0B" w:rsidP="00CA1B0B">
      <w:pPr>
        <w:numPr>
          <w:ilvl w:val="0"/>
          <w:numId w:val="3"/>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 xml:space="preserve">Spectators, audiences, </w:t>
      </w:r>
      <w:proofErr w:type="gramStart"/>
      <w:r w:rsidRPr="00A91917">
        <w:rPr>
          <w:rFonts w:eastAsia="Times New Roman" w:cstheme="minorHAnsi"/>
          <w:color w:val="000000"/>
          <w:highlight w:val="lightGray"/>
        </w:rPr>
        <w:t>fans</w:t>
      </w:r>
      <w:proofErr w:type="gramEnd"/>
      <w:r w:rsidRPr="00A91917">
        <w:rPr>
          <w:rFonts w:eastAsia="Times New Roman" w:cstheme="minorHAnsi"/>
          <w:color w:val="000000"/>
          <w:highlight w:val="lightGray"/>
        </w:rPr>
        <w:t xml:space="preserve"> and media are required to wear face coverings as described in Executive Order GA-29.</w:t>
      </w:r>
    </w:p>
    <w:p w14:paraId="6533186A" w14:textId="77777777" w:rsidR="00CA1B0B" w:rsidRPr="00A91917" w:rsidRDefault="00CA1B0B" w:rsidP="00CA1B0B">
      <w:pPr>
        <w:numPr>
          <w:ilvl w:val="0"/>
          <w:numId w:val="3"/>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 xml:space="preserve">Groups </w:t>
      </w:r>
      <w:proofErr w:type="gramStart"/>
      <w:r w:rsidRPr="00A91917">
        <w:rPr>
          <w:rFonts w:eastAsia="Times New Roman" w:cstheme="minorHAnsi"/>
          <w:color w:val="000000"/>
          <w:highlight w:val="lightGray"/>
        </w:rPr>
        <w:t>should maintain at least six feet of distance from other groups at all times</w:t>
      </w:r>
      <w:proofErr w:type="gramEnd"/>
      <w:r w:rsidRPr="00A91917">
        <w:rPr>
          <w:rFonts w:eastAsia="Times New Roman" w:cstheme="minorHAnsi"/>
          <w:color w:val="000000"/>
          <w:highlight w:val="lightGray"/>
        </w:rPr>
        <w:t>, including the process of admission and seating. A group is defined as no more than 10 people including the members of the household and those persons who traveled together to the facility.</w:t>
      </w:r>
    </w:p>
    <w:p w14:paraId="743C9A08" w14:textId="77777777" w:rsidR="00CA1B0B" w:rsidRPr="00A91917" w:rsidRDefault="00CA1B0B" w:rsidP="00CA1B0B">
      <w:pPr>
        <w:numPr>
          <w:ilvl w:val="0"/>
          <w:numId w:val="3"/>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 xml:space="preserve">Schools should not allow seating in consecutive </w:t>
      </w:r>
      <w:proofErr w:type="gramStart"/>
      <w:r w:rsidRPr="00A91917">
        <w:rPr>
          <w:rFonts w:eastAsia="Times New Roman" w:cstheme="minorHAnsi"/>
          <w:color w:val="000000"/>
          <w:highlight w:val="lightGray"/>
        </w:rPr>
        <w:t>rows, and</w:t>
      </w:r>
      <w:proofErr w:type="gramEnd"/>
      <w:r w:rsidRPr="00A91917">
        <w:rPr>
          <w:rFonts w:eastAsia="Times New Roman" w:cstheme="minorHAnsi"/>
          <w:color w:val="000000"/>
          <w:highlight w:val="lightGray"/>
        </w:rPr>
        <w:t xml:space="preserve"> should block off seating to maintain a minimum six feet of distance between groups.</w:t>
      </w:r>
    </w:p>
    <w:p w14:paraId="53EE2AF4" w14:textId="77777777" w:rsidR="00CA1B0B" w:rsidRPr="00A91917" w:rsidRDefault="00CA1B0B" w:rsidP="00CA1B0B">
      <w:pPr>
        <w:numPr>
          <w:ilvl w:val="0"/>
          <w:numId w:val="3"/>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Pathways for spectator ingress and egress should be clearly marked and unobstructed.</w:t>
      </w:r>
    </w:p>
    <w:p w14:paraId="1E67C1B2" w14:textId="2AC9AEF4" w:rsidR="00CA1B0B" w:rsidRPr="00A91917" w:rsidRDefault="00CA1B0B" w:rsidP="00CA1B0B">
      <w:pPr>
        <w:numPr>
          <w:ilvl w:val="0"/>
          <w:numId w:val="3"/>
        </w:numPr>
        <w:shd w:val="clear" w:color="auto" w:fill="F1F1F1"/>
        <w:spacing w:after="0" w:line="240" w:lineRule="auto"/>
        <w:ind w:left="1020"/>
        <w:rPr>
          <w:rFonts w:ascii="Helvetica" w:eastAsia="Times New Roman" w:hAnsi="Helvetica" w:cs="Helvetica"/>
          <w:color w:val="000000"/>
          <w:sz w:val="21"/>
          <w:szCs w:val="21"/>
          <w:highlight w:val="lightGray"/>
        </w:rPr>
      </w:pPr>
      <w:r w:rsidRPr="00A91917">
        <w:rPr>
          <w:rFonts w:eastAsia="Times New Roman" w:cstheme="minorHAnsi"/>
          <w:color w:val="000000"/>
          <w:highlight w:val="lightGray"/>
        </w:rPr>
        <w:t>Schools should provide hand sanitizing stations and/or hand washing stations at entrances and inside the facility.</w:t>
      </w:r>
    </w:p>
    <w:p w14:paraId="07165D02" w14:textId="77777777" w:rsidR="00CA1B0B" w:rsidRPr="00A91917" w:rsidRDefault="00CA1B0B" w:rsidP="00CA1B0B">
      <w:pPr>
        <w:shd w:val="clear" w:color="auto" w:fill="F1F1F1"/>
        <w:spacing w:after="0" w:line="240" w:lineRule="auto"/>
        <w:rPr>
          <w:rFonts w:eastAsia="Times New Roman" w:cstheme="minorHAnsi"/>
          <w:color w:val="000000"/>
        </w:rPr>
      </w:pPr>
      <w:r w:rsidRPr="00A91917">
        <w:rPr>
          <w:rFonts w:eastAsia="Times New Roman" w:cstheme="minorHAnsi"/>
          <w:b/>
          <w:bCs/>
          <w:color w:val="000000"/>
        </w:rPr>
        <w:t>Concession Stands and Food Service</w:t>
      </w:r>
    </w:p>
    <w:p w14:paraId="7FFAD5C9" w14:textId="77777777" w:rsidR="00CA1B0B" w:rsidRPr="00A91917" w:rsidRDefault="00CA1B0B" w:rsidP="00CA1B0B">
      <w:pPr>
        <w:shd w:val="clear" w:color="auto" w:fill="F1F1F1"/>
        <w:spacing w:after="0" w:line="240" w:lineRule="auto"/>
        <w:rPr>
          <w:rFonts w:eastAsia="Times New Roman" w:cstheme="minorHAnsi"/>
          <w:color w:val="000000"/>
        </w:rPr>
      </w:pPr>
      <w:r w:rsidRPr="00A91917">
        <w:rPr>
          <w:rFonts w:eastAsia="Times New Roman" w:cstheme="minorHAnsi"/>
          <w:color w:val="000000"/>
        </w:rPr>
        <w:t>For games, contests, and events that will include concession stands or other food service, the following guidelines apply:</w:t>
      </w:r>
    </w:p>
    <w:p w14:paraId="54E88BD6" w14:textId="77777777" w:rsidR="00CA1B0B" w:rsidRPr="00A91917" w:rsidRDefault="00CA1B0B" w:rsidP="00CA1B0B">
      <w:pPr>
        <w:numPr>
          <w:ilvl w:val="0"/>
          <w:numId w:val="4"/>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Staff, contractors, and volunteers involved in food service are required to wear face coverings as described in Executive Order GA-29.</w:t>
      </w:r>
    </w:p>
    <w:p w14:paraId="7849687B" w14:textId="77777777" w:rsidR="00CA1B0B" w:rsidRPr="00A91917" w:rsidRDefault="00CA1B0B" w:rsidP="00CA1B0B">
      <w:pPr>
        <w:numPr>
          <w:ilvl w:val="0"/>
          <w:numId w:val="4"/>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lastRenderedPageBreak/>
        <w:t xml:space="preserve">Sites should avoid leaving condiments, silverware, flatware, glassware, or other traditional tabletop items on unoccupied tables or at the counter. Sites should only provide condiments or flatware upon request, and in </w:t>
      </w:r>
      <w:proofErr w:type="gramStart"/>
      <w:r w:rsidRPr="00A91917">
        <w:rPr>
          <w:rFonts w:eastAsia="Times New Roman" w:cstheme="minorHAnsi"/>
          <w:color w:val="000000"/>
          <w:highlight w:val="lightGray"/>
        </w:rPr>
        <w:t>single-use</w:t>
      </w:r>
      <w:proofErr w:type="gramEnd"/>
      <w:r w:rsidRPr="00A91917">
        <w:rPr>
          <w:rFonts w:eastAsia="Times New Roman" w:cstheme="minorHAnsi"/>
          <w:color w:val="000000"/>
          <w:highlight w:val="lightGray"/>
        </w:rPr>
        <w:t>, individually wrapped items.</w:t>
      </w:r>
    </w:p>
    <w:p w14:paraId="333A2B6C" w14:textId="77777777" w:rsidR="00CA1B0B" w:rsidRPr="00A91917" w:rsidRDefault="00CA1B0B" w:rsidP="00CA1B0B">
      <w:pPr>
        <w:numPr>
          <w:ilvl w:val="0"/>
          <w:numId w:val="4"/>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Regularly clean and disinfect the food service counters and areas. Clean and disinfect dining areas (tables, etc.) after each patron departs.</w:t>
      </w:r>
    </w:p>
    <w:p w14:paraId="59A0A812" w14:textId="77777777" w:rsidR="00CA1B0B" w:rsidRPr="00A91917" w:rsidRDefault="00CA1B0B" w:rsidP="00CA1B0B">
      <w:pPr>
        <w:numPr>
          <w:ilvl w:val="0"/>
          <w:numId w:val="4"/>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Limit contact between the individuals involved in food service and patrons as much as possible. Have employees, contractors, and volunteers follow proper food-handling protocols.</w:t>
      </w:r>
    </w:p>
    <w:p w14:paraId="035CB294" w14:textId="77777777" w:rsidR="00CA1B0B" w:rsidRPr="00A91917" w:rsidRDefault="00CA1B0B" w:rsidP="00CA1B0B">
      <w:pPr>
        <w:numPr>
          <w:ilvl w:val="0"/>
          <w:numId w:val="4"/>
        </w:numPr>
        <w:shd w:val="clear" w:color="auto" w:fill="F1F1F1"/>
        <w:spacing w:after="0" w:line="240" w:lineRule="auto"/>
        <w:ind w:left="1020"/>
        <w:rPr>
          <w:rFonts w:eastAsia="Times New Roman" w:cstheme="minorHAnsi"/>
          <w:color w:val="000000"/>
          <w:highlight w:val="lightGray"/>
        </w:rPr>
      </w:pPr>
      <w:r w:rsidRPr="00A91917">
        <w:rPr>
          <w:rFonts w:eastAsia="Times New Roman" w:cstheme="minorHAnsi"/>
          <w:color w:val="000000"/>
          <w:highlight w:val="lightGray"/>
        </w:rPr>
        <w:t>Before each game, schools should follow the screening protocols described above to screen staff, contractors, and volunteers who will be involved in food service prior to events. These individuals should also self-screen as described in these screening protocols.</w:t>
      </w:r>
    </w:p>
    <w:p w14:paraId="2170018B" w14:textId="490DE263" w:rsidR="002C12B1" w:rsidRDefault="00CA1B0B" w:rsidP="002C12B1">
      <w:pPr>
        <w:rPr>
          <w:b/>
          <w:bCs/>
          <w:sz w:val="28"/>
          <w:szCs w:val="28"/>
        </w:rPr>
      </w:pPr>
      <w:r w:rsidRPr="002C12B1">
        <w:rPr>
          <w:b/>
          <w:bCs/>
          <w:sz w:val="28"/>
          <w:szCs w:val="28"/>
        </w:rPr>
        <w:t>The following guidelines are for the Meadow ISD Gymnasium only</w:t>
      </w:r>
      <w:r w:rsidR="002C12B1" w:rsidRPr="002C12B1">
        <w:rPr>
          <w:b/>
          <w:bCs/>
          <w:sz w:val="28"/>
          <w:szCs w:val="28"/>
        </w:rPr>
        <w:t xml:space="preserve">.  Each hosting school district will have their own guidelines to follow </w:t>
      </w:r>
      <w:r w:rsidR="004E590B">
        <w:rPr>
          <w:b/>
          <w:bCs/>
          <w:sz w:val="28"/>
          <w:szCs w:val="28"/>
        </w:rPr>
        <w:t>for their facilities</w:t>
      </w:r>
      <w:r w:rsidR="002C12B1" w:rsidRPr="002C12B1">
        <w:rPr>
          <w:b/>
          <w:bCs/>
          <w:sz w:val="28"/>
          <w:szCs w:val="28"/>
        </w:rPr>
        <w:t xml:space="preserve">.  </w:t>
      </w:r>
      <w:r w:rsidR="002C12B1">
        <w:rPr>
          <w:b/>
          <w:bCs/>
          <w:sz w:val="28"/>
          <w:szCs w:val="28"/>
        </w:rPr>
        <w:tab/>
        <w:t xml:space="preserve"> </w:t>
      </w:r>
      <w:r w:rsidR="002C12B1" w:rsidRPr="002C12B1">
        <w:rPr>
          <w:b/>
          <w:bCs/>
          <w:sz w:val="28"/>
          <w:szCs w:val="28"/>
        </w:rPr>
        <w:t xml:space="preserve">Meadow ISD wants to provide a safe environment for our athletes, staff, and guests.  </w:t>
      </w:r>
      <w:r w:rsidR="002C12B1" w:rsidRPr="002C12B1">
        <w:rPr>
          <w:b/>
          <w:bCs/>
          <w:sz w:val="28"/>
          <w:szCs w:val="28"/>
        </w:rPr>
        <w:t>Our facility</w:t>
      </w:r>
      <w:r w:rsidR="002C12B1" w:rsidRPr="002C12B1">
        <w:rPr>
          <w:b/>
          <w:bCs/>
          <w:sz w:val="28"/>
          <w:szCs w:val="28"/>
        </w:rPr>
        <w:t xml:space="preserve"> does have a limited seating capacity</w:t>
      </w:r>
      <w:r w:rsidR="002C12B1" w:rsidRPr="002C12B1">
        <w:rPr>
          <w:b/>
          <w:bCs/>
          <w:sz w:val="28"/>
          <w:szCs w:val="28"/>
        </w:rPr>
        <w:t xml:space="preserve"> when converted to 50% occupancy.</w:t>
      </w:r>
      <w:r w:rsidR="002C12B1">
        <w:rPr>
          <w:b/>
          <w:bCs/>
          <w:sz w:val="28"/>
          <w:szCs w:val="28"/>
        </w:rPr>
        <w:t xml:space="preserve">  </w:t>
      </w:r>
    </w:p>
    <w:p w14:paraId="2C01D6A8" w14:textId="507FEC82" w:rsidR="002C12B1" w:rsidRPr="00802A49" w:rsidRDefault="002C12B1" w:rsidP="002C12B1">
      <w:pPr>
        <w:rPr>
          <w:b/>
          <w:bCs/>
          <w:highlight w:val="lightGray"/>
        </w:rPr>
      </w:pPr>
      <w:r w:rsidRPr="00802A49">
        <w:rPr>
          <w:b/>
          <w:bCs/>
          <w:highlight w:val="lightGray"/>
        </w:rPr>
        <w:t>Home Side Guidelines:</w:t>
      </w:r>
    </w:p>
    <w:p w14:paraId="75AF1CD5" w14:textId="0A3E6811" w:rsidR="002C12B1" w:rsidRPr="00802A49" w:rsidRDefault="002C12B1" w:rsidP="002C12B1">
      <w:pPr>
        <w:pStyle w:val="ListParagraph"/>
        <w:numPr>
          <w:ilvl w:val="0"/>
          <w:numId w:val="6"/>
        </w:numPr>
        <w:rPr>
          <w:b/>
          <w:bCs/>
          <w:highlight w:val="lightGray"/>
        </w:rPr>
      </w:pPr>
      <w:r w:rsidRPr="00802A49">
        <w:rPr>
          <w:b/>
          <w:bCs/>
          <w:highlight w:val="lightGray"/>
        </w:rPr>
        <w:t>Seating will only be available in the yellow chairs.  All other bench seating will be declared as non-consecutive row spacing.  Each end of the bleachers will be declared for athletes only</w:t>
      </w:r>
      <w:r w:rsidR="00802A49" w:rsidRPr="00802A49">
        <w:rPr>
          <w:b/>
          <w:bCs/>
          <w:highlight w:val="lightGray"/>
        </w:rPr>
        <w:t>.</w:t>
      </w:r>
    </w:p>
    <w:p w14:paraId="1524BEC6" w14:textId="172B06E8" w:rsidR="002C12B1" w:rsidRPr="00802A49" w:rsidRDefault="002C12B1" w:rsidP="002C12B1">
      <w:pPr>
        <w:pStyle w:val="ListParagraph"/>
        <w:numPr>
          <w:ilvl w:val="0"/>
          <w:numId w:val="6"/>
        </w:numPr>
        <w:rPr>
          <w:b/>
          <w:bCs/>
          <w:highlight w:val="lightGray"/>
        </w:rPr>
      </w:pPr>
      <w:r w:rsidRPr="00802A49">
        <w:rPr>
          <w:b/>
          <w:bCs/>
          <w:highlight w:val="lightGray"/>
        </w:rPr>
        <w:t>Family only may attend games.  The student body may only attend if a sibling is playing</w:t>
      </w:r>
      <w:r w:rsidR="00802A49" w:rsidRPr="00802A49">
        <w:rPr>
          <w:b/>
          <w:bCs/>
          <w:highlight w:val="lightGray"/>
        </w:rPr>
        <w:t>.</w:t>
      </w:r>
    </w:p>
    <w:p w14:paraId="4ECF267C" w14:textId="69A8B7D5" w:rsidR="00802A49" w:rsidRPr="00802A49" w:rsidRDefault="00802A49" w:rsidP="002C12B1">
      <w:pPr>
        <w:pStyle w:val="ListParagraph"/>
        <w:numPr>
          <w:ilvl w:val="0"/>
          <w:numId w:val="6"/>
        </w:numPr>
        <w:rPr>
          <w:b/>
          <w:bCs/>
          <w:highlight w:val="lightGray"/>
        </w:rPr>
      </w:pPr>
      <w:r w:rsidRPr="00802A49">
        <w:rPr>
          <w:b/>
          <w:bCs/>
          <w:highlight w:val="lightGray"/>
        </w:rPr>
        <w:t>We respectfully ask families to vacate the gym after your athlete has finished to allow the seating for the next set of families.</w:t>
      </w:r>
    </w:p>
    <w:p w14:paraId="60D9BBE8" w14:textId="4C566F67" w:rsidR="00802A49" w:rsidRPr="00802A49" w:rsidRDefault="00802A49" w:rsidP="002C12B1">
      <w:pPr>
        <w:pStyle w:val="ListParagraph"/>
        <w:numPr>
          <w:ilvl w:val="0"/>
          <w:numId w:val="6"/>
        </w:numPr>
        <w:rPr>
          <w:b/>
          <w:bCs/>
          <w:highlight w:val="lightGray"/>
        </w:rPr>
      </w:pPr>
      <w:r w:rsidRPr="00802A49">
        <w:rPr>
          <w:b/>
          <w:bCs/>
          <w:highlight w:val="lightGray"/>
        </w:rPr>
        <w:t>Lobby area must stay as clear as possible.  Spectators waiting on concession, entering the gym, or waiting for bathrooms will be allowed.</w:t>
      </w:r>
    </w:p>
    <w:p w14:paraId="2AFCB13D" w14:textId="075E0505" w:rsidR="00802A49" w:rsidRDefault="00802A49" w:rsidP="002C12B1">
      <w:pPr>
        <w:pStyle w:val="ListParagraph"/>
        <w:numPr>
          <w:ilvl w:val="0"/>
          <w:numId w:val="6"/>
        </w:numPr>
        <w:rPr>
          <w:b/>
          <w:bCs/>
        </w:rPr>
      </w:pPr>
      <w:r w:rsidRPr="00802A49">
        <w:rPr>
          <w:b/>
          <w:bCs/>
          <w:highlight w:val="lightGray"/>
        </w:rPr>
        <w:t xml:space="preserve">All spectators must be in the stands.  Meadow ISD staff, officials, </w:t>
      </w:r>
      <w:r w:rsidR="004E590B">
        <w:rPr>
          <w:b/>
          <w:bCs/>
          <w:highlight w:val="lightGray"/>
        </w:rPr>
        <w:t xml:space="preserve">law enforcement </w:t>
      </w:r>
      <w:r w:rsidRPr="00802A49">
        <w:rPr>
          <w:b/>
          <w:bCs/>
          <w:highlight w:val="lightGray"/>
        </w:rPr>
        <w:t>and all participants are only allowed on the floor area.</w:t>
      </w:r>
    </w:p>
    <w:p w14:paraId="423B100F" w14:textId="4F8C7E98" w:rsidR="004E590B" w:rsidRPr="004E590B" w:rsidRDefault="004E590B" w:rsidP="004E590B">
      <w:pPr>
        <w:rPr>
          <w:b/>
          <w:bCs/>
          <w:highlight w:val="lightGray"/>
        </w:rPr>
      </w:pPr>
      <w:r w:rsidRPr="004E590B">
        <w:rPr>
          <w:b/>
          <w:bCs/>
          <w:highlight w:val="lightGray"/>
        </w:rPr>
        <w:t>Visitors Side Guidelines:</w:t>
      </w:r>
    </w:p>
    <w:p w14:paraId="5BE17837" w14:textId="65BEAD2A" w:rsidR="004E590B" w:rsidRPr="004E590B" w:rsidRDefault="004E590B" w:rsidP="004E590B">
      <w:pPr>
        <w:pStyle w:val="ListParagraph"/>
        <w:numPr>
          <w:ilvl w:val="0"/>
          <w:numId w:val="7"/>
        </w:numPr>
        <w:rPr>
          <w:b/>
          <w:bCs/>
          <w:highlight w:val="lightGray"/>
        </w:rPr>
      </w:pPr>
      <w:r w:rsidRPr="004E590B">
        <w:rPr>
          <w:b/>
          <w:bCs/>
          <w:highlight w:val="lightGray"/>
        </w:rPr>
        <w:t>Seating will only be available on every other row.  The bench seating at the ends of the gym will be declared as for athletes only.</w:t>
      </w:r>
    </w:p>
    <w:p w14:paraId="5F061BD7" w14:textId="7C81F8A8" w:rsidR="004E590B" w:rsidRPr="004E590B" w:rsidRDefault="004E590B" w:rsidP="004E590B">
      <w:pPr>
        <w:pStyle w:val="ListParagraph"/>
        <w:numPr>
          <w:ilvl w:val="0"/>
          <w:numId w:val="7"/>
        </w:numPr>
        <w:rPr>
          <w:b/>
          <w:bCs/>
          <w:highlight w:val="lightGray"/>
        </w:rPr>
      </w:pPr>
      <w:r w:rsidRPr="004E590B">
        <w:rPr>
          <w:b/>
          <w:bCs/>
          <w:highlight w:val="lightGray"/>
        </w:rPr>
        <w:t>Family only may attend games.  (We respectfully ask that each visiting school regulate properly)</w:t>
      </w:r>
    </w:p>
    <w:p w14:paraId="212D3606" w14:textId="5A4D394D" w:rsidR="004E590B" w:rsidRPr="004E590B" w:rsidRDefault="004E590B" w:rsidP="004E590B">
      <w:pPr>
        <w:pStyle w:val="ListParagraph"/>
        <w:numPr>
          <w:ilvl w:val="0"/>
          <w:numId w:val="7"/>
        </w:numPr>
        <w:rPr>
          <w:b/>
          <w:bCs/>
          <w:highlight w:val="lightGray"/>
        </w:rPr>
      </w:pPr>
      <w:r w:rsidRPr="004E590B">
        <w:rPr>
          <w:b/>
          <w:bCs/>
          <w:highlight w:val="lightGray"/>
        </w:rPr>
        <w:t>We respectfully ask families to vacate the gym after each game to allow the seating for the next game</w:t>
      </w:r>
    </w:p>
    <w:p w14:paraId="5F9C1BCF" w14:textId="67B8019E" w:rsidR="004E590B" w:rsidRPr="004E590B" w:rsidRDefault="004E590B" w:rsidP="004E590B">
      <w:pPr>
        <w:pStyle w:val="ListParagraph"/>
        <w:numPr>
          <w:ilvl w:val="0"/>
          <w:numId w:val="7"/>
        </w:numPr>
        <w:rPr>
          <w:b/>
          <w:bCs/>
          <w:highlight w:val="lightGray"/>
        </w:rPr>
      </w:pPr>
      <w:r w:rsidRPr="004E590B">
        <w:rPr>
          <w:b/>
          <w:bCs/>
          <w:highlight w:val="lightGray"/>
        </w:rPr>
        <w:t>Lobby area must stay as clear as possible.  Spectators waiting on concession, entering the gym, or waiting for bathrooms will be allowed</w:t>
      </w:r>
    </w:p>
    <w:p w14:paraId="7ABC7224" w14:textId="540075C4" w:rsidR="00FF2501" w:rsidRDefault="004E590B" w:rsidP="00FF2501">
      <w:pPr>
        <w:pStyle w:val="ListParagraph"/>
        <w:numPr>
          <w:ilvl w:val="0"/>
          <w:numId w:val="7"/>
        </w:numPr>
        <w:rPr>
          <w:b/>
          <w:bCs/>
          <w:highlight w:val="lightGray"/>
        </w:rPr>
      </w:pPr>
      <w:r w:rsidRPr="004E590B">
        <w:rPr>
          <w:b/>
          <w:bCs/>
          <w:highlight w:val="lightGray"/>
        </w:rPr>
        <w:t>All spectators must be in the stands.  Visiting administrator in charge may stand at floor level</w:t>
      </w:r>
    </w:p>
    <w:p w14:paraId="30B2D4B8" w14:textId="4F3085B2" w:rsidR="00FF2501" w:rsidRPr="00FF2501" w:rsidRDefault="00FF2501" w:rsidP="00FF2501">
      <w:pPr>
        <w:rPr>
          <w:b/>
          <w:bCs/>
          <w:sz w:val="24"/>
          <w:szCs w:val="24"/>
          <w:highlight w:val="lightGray"/>
        </w:rPr>
      </w:pPr>
    </w:p>
    <w:p w14:paraId="46857DF8" w14:textId="6B533F24" w:rsidR="00802A49" w:rsidRPr="002C12B1" w:rsidRDefault="00802A49" w:rsidP="00802A49">
      <w:pPr>
        <w:pStyle w:val="ListParagraph"/>
        <w:rPr>
          <w:b/>
          <w:bCs/>
        </w:rPr>
      </w:pPr>
    </w:p>
    <w:sectPr w:rsidR="00802A49" w:rsidRPr="002C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FAD"/>
    <w:multiLevelType w:val="hybridMultilevel"/>
    <w:tmpl w:val="3BFE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97B70"/>
    <w:multiLevelType w:val="multilevel"/>
    <w:tmpl w:val="9942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C770E"/>
    <w:multiLevelType w:val="multilevel"/>
    <w:tmpl w:val="4554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F4282"/>
    <w:multiLevelType w:val="multilevel"/>
    <w:tmpl w:val="6686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72640"/>
    <w:multiLevelType w:val="multilevel"/>
    <w:tmpl w:val="52DE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2871F1"/>
    <w:multiLevelType w:val="hybridMultilevel"/>
    <w:tmpl w:val="5FACA9D8"/>
    <w:lvl w:ilvl="0" w:tplc="59F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F6784"/>
    <w:multiLevelType w:val="hybridMultilevel"/>
    <w:tmpl w:val="F414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0B"/>
    <w:rsid w:val="002C12B1"/>
    <w:rsid w:val="004E590B"/>
    <w:rsid w:val="00802A49"/>
    <w:rsid w:val="00CA1B0B"/>
    <w:rsid w:val="00FE5821"/>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CC87"/>
  <w15:chartTrackingRefBased/>
  <w15:docId w15:val="{7A057F95-BCBB-4215-8ECB-6C007181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as.gov/uploads/files/organization/opentexas/EO-GA-29-use-of-face-coverings-during-COVID-19-IMAGE-07-02-2020.pdf" TargetMode="External"/><Relationship Id="rId5" Type="http://schemas.openxmlformats.org/officeDocument/2006/relationships/hyperlink" Target="https://open.texas.gov/uploads/files/organization/opentexas/EO-GA-29-use-of-face-coverings-during-COVID-19-IMAGE-07-02-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Dover</dc:creator>
  <cp:keywords/>
  <dc:description/>
  <cp:lastModifiedBy>D. Dover</cp:lastModifiedBy>
  <cp:revision>1</cp:revision>
  <cp:lastPrinted>2020-11-01T22:54:00Z</cp:lastPrinted>
  <dcterms:created xsi:type="dcterms:W3CDTF">2020-11-01T22:09:00Z</dcterms:created>
  <dcterms:modified xsi:type="dcterms:W3CDTF">2020-11-02T14:33:00Z</dcterms:modified>
</cp:coreProperties>
</file>