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76" w:rsidRPr="002C0D02" w:rsidRDefault="00581B76" w:rsidP="00581B76">
      <w:pPr>
        <w:ind w:right="360"/>
        <w:jc w:val="center"/>
        <w:rPr>
          <w:rFonts w:ascii="Arial Narrow" w:hAnsi="Arial Narrow"/>
          <w:b/>
          <w:sz w:val="20"/>
        </w:rPr>
      </w:pPr>
      <w:bookmarkStart w:id="0" w:name="_GoBack"/>
      <w:bookmarkEnd w:id="0"/>
      <w:r w:rsidRPr="002C0D02">
        <w:rPr>
          <w:rFonts w:ascii="Arial Narrow" w:hAnsi="Arial Narrow"/>
          <w:b/>
          <w:sz w:val="20"/>
        </w:rPr>
        <w:t>2019-2020</w:t>
      </w:r>
      <w:r w:rsidRPr="002C0D02">
        <w:rPr>
          <w:rFonts w:ascii="Arial Narrow" w:hAnsi="Arial Narrow"/>
          <w:sz w:val="20"/>
        </w:rPr>
        <w:t xml:space="preserve"> </w:t>
      </w:r>
      <w:r w:rsidRPr="002C0D02">
        <w:rPr>
          <w:rFonts w:ascii="Arial Narrow" w:hAnsi="Arial Narrow"/>
          <w:b/>
          <w:sz w:val="20"/>
        </w:rPr>
        <w:t>INCOME ELIGIBILITY GUIDELINES</w:t>
      </w:r>
    </w:p>
    <w:p w:rsidR="00581B76" w:rsidRPr="002C0D02" w:rsidRDefault="00581B76" w:rsidP="00581B76">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rsidR="00581B76" w:rsidRPr="002C0D02" w:rsidRDefault="00581B76" w:rsidP="00581B76">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tbl>
      <w:tblPr>
        <w:tblW w:w="103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1645"/>
        <w:gridCol w:w="1645"/>
        <w:gridCol w:w="1645"/>
        <w:gridCol w:w="1645"/>
        <w:gridCol w:w="1203"/>
      </w:tblGrid>
      <w:tr w:rsidR="00581B76" w:rsidRPr="002C0D02" w:rsidTr="0084409D">
        <w:trPr>
          <w:trHeight w:val="568"/>
        </w:trPr>
        <w:tc>
          <w:tcPr>
            <w:tcW w:w="2580" w:type="dxa"/>
            <w:shd w:val="clear" w:color="auto" w:fill="auto"/>
            <w:vAlign w:val="center"/>
          </w:tcPr>
          <w:p w:rsidR="00581B76" w:rsidRPr="002C0D02" w:rsidRDefault="00581B76" w:rsidP="00B33BA3">
            <w:pPr>
              <w:ind w:right="-108"/>
              <w:jc w:val="center"/>
              <w:rPr>
                <w:rFonts w:ascii="Arial Narrow" w:hAnsi="Arial Narrow"/>
                <w:sz w:val="20"/>
              </w:rPr>
            </w:pPr>
            <w:r w:rsidRPr="002C0D02">
              <w:rPr>
                <w:rFonts w:ascii="Arial Narrow" w:hAnsi="Arial Narrow"/>
                <w:sz w:val="20"/>
              </w:rPr>
              <w:t>Total</w:t>
            </w:r>
          </w:p>
          <w:p w:rsidR="00581B76" w:rsidRPr="002C0D02" w:rsidRDefault="00581B76" w:rsidP="00B33BA3">
            <w:pPr>
              <w:ind w:right="-108"/>
              <w:jc w:val="center"/>
              <w:rPr>
                <w:rFonts w:ascii="Arial Narrow" w:hAnsi="Arial Narrow"/>
                <w:sz w:val="20"/>
              </w:rPr>
            </w:pPr>
            <w:r w:rsidRPr="002C0D02">
              <w:rPr>
                <w:rFonts w:ascii="Arial Narrow" w:hAnsi="Arial Narrow"/>
                <w:sz w:val="20"/>
              </w:rPr>
              <w:t>Family Size</w:t>
            </w:r>
          </w:p>
        </w:tc>
        <w:tc>
          <w:tcPr>
            <w:tcW w:w="1645" w:type="dxa"/>
            <w:shd w:val="clear" w:color="auto" w:fill="auto"/>
            <w:vAlign w:val="center"/>
          </w:tcPr>
          <w:p w:rsidR="00581B76" w:rsidRPr="002C0D02" w:rsidRDefault="00581B76" w:rsidP="00B33BA3">
            <w:pPr>
              <w:ind w:left="-108" w:right="-108"/>
              <w:jc w:val="center"/>
              <w:rPr>
                <w:rFonts w:ascii="Arial Narrow" w:hAnsi="Arial Narrow"/>
                <w:sz w:val="20"/>
              </w:rPr>
            </w:pPr>
            <w:r w:rsidRPr="002C0D02">
              <w:rPr>
                <w:rFonts w:ascii="Arial Narrow" w:hAnsi="Arial Narrow"/>
                <w:sz w:val="20"/>
              </w:rPr>
              <w:t>Annual</w:t>
            </w:r>
          </w:p>
        </w:tc>
        <w:tc>
          <w:tcPr>
            <w:tcW w:w="1645" w:type="dxa"/>
            <w:shd w:val="clear" w:color="auto" w:fill="auto"/>
            <w:vAlign w:val="center"/>
          </w:tcPr>
          <w:p w:rsidR="00581B76" w:rsidRPr="002C0D02" w:rsidRDefault="00581B76" w:rsidP="00B33BA3">
            <w:pPr>
              <w:ind w:left="-108" w:right="-108"/>
              <w:jc w:val="center"/>
              <w:rPr>
                <w:rFonts w:ascii="Arial Narrow" w:hAnsi="Arial Narrow"/>
                <w:sz w:val="20"/>
              </w:rPr>
            </w:pPr>
            <w:r w:rsidRPr="002C0D02">
              <w:rPr>
                <w:rFonts w:ascii="Arial Narrow" w:hAnsi="Arial Narrow"/>
                <w:sz w:val="20"/>
              </w:rPr>
              <w:t>Monthly</w:t>
            </w:r>
          </w:p>
        </w:tc>
        <w:tc>
          <w:tcPr>
            <w:tcW w:w="1645" w:type="dxa"/>
            <w:shd w:val="clear" w:color="auto" w:fill="auto"/>
            <w:vAlign w:val="center"/>
          </w:tcPr>
          <w:p w:rsidR="00581B76" w:rsidRPr="002C0D02" w:rsidRDefault="00581B76" w:rsidP="00B33BA3">
            <w:pPr>
              <w:ind w:left="-108" w:right="-108"/>
              <w:jc w:val="center"/>
              <w:rPr>
                <w:rFonts w:ascii="Arial Narrow" w:hAnsi="Arial Narrow"/>
                <w:sz w:val="20"/>
              </w:rPr>
            </w:pPr>
            <w:r w:rsidRPr="002C0D02">
              <w:rPr>
                <w:rFonts w:ascii="Arial Narrow" w:hAnsi="Arial Narrow"/>
                <w:sz w:val="20"/>
              </w:rPr>
              <w:t>Twice per Month</w:t>
            </w:r>
          </w:p>
        </w:tc>
        <w:tc>
          <w:tcPr>
            <w:tcW w:w="1645" w:type="dxa"/>
            <w:shd w:val="clear" w:color="auto" w:fill="auto"/>
            <w:vAlign w:val="center"/>
          </w:tcPr>
          <w:p w:rsidR="00581B76" w:rsidRPr="002C0D02" w:rsidRDefault="00581B76" w:rsidP="00B33BA3">
            <w:pPr>
              <w:ind w:left="-108" w:right="-108"/>
              <w:jc w:val="center"/>
              <w:rPr>
                <w:rFonts w:ascii="Arial Narrow" w:hAnsi="Arial Narrow"/>
                <w:sz w:val="20"/>
              </w:rPr>
            </w:pPr>
            <w:r w:rsidRPr="002C0D02">
              <w:rPr>
                <w:rFonts w:ascii="Arial Narrow" w:hAnsi="Arial Narrow"/>
                <w:sz w:val="20"/>
              </w:rPr>
              <w:t>Every Two Weeks</w:t>
            </w:r>
          </w:p>
        </w:tc>
        <w:tc>
          <w:tcPr>
            <w:tcW w:w="1203" w:type="dxa"/>
            <w:shd w:val="clear" w:color="auto" w:fill="auto"/>
            <w:vAlign w:val="center"/>
          </w:tcPr>
          <w:p w:rsidR="00581B76" w:rsidRPr="002C0D02" w:rsidRDefault="00581B76" w:rsidP="00B33BA3">
            <w:pPr>
              <w:ind w:left="-108" w:right="-108"/>
              <w:jc w:val="center"/>
              <w:rPr>
                <w:rFonts w:ascii="Arial Narrow" w:hAnsi="Arial Narrow"/>
                <w:sz w:val="20"/>
              </w:rPr>
            </w:pPr>
            <w:r w:rsidRPr="002C0D02">
              <w:rPr>
                <w:rFonts w:ascii="Arial Narrow" w:hAnsi="Arial Narrow"/>
                <w:sz w:val="20"/>
              </w:rPr>
              <w:t>Weekly</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1</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$ 23,107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$ 1,926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$ 963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$ 889</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$ 445</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2</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$ 31,284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$ 2,607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$ 1,304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$ 1,204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$ 602 </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3</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$ 39,461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$ 3,289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$ 1,645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$ 1,518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$ 759</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4</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$ 47,638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$ 3,970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$ 1,985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$ 1,833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$ 917 </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5</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$ 55,815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$ 4,652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$ 2,326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$ 2,147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$ 1,074</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6</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$ 63,992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$ 5,333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$ 2,667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$ 2,462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$ 1,231 </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7</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$ 72,169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$ 6,015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$ 3,008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$ 2,776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$ 1,388 </w:t>
            </w:r>
          </w:p>
        </w:tc>
      </w:tr>
      <w:tr w:rsidR="00581B76" w:rsidRPr="002C0D02" w:rsidTr="0084409D">
        <w:trPr>
          <w:trHeight w:val="187"/>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8</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$ 80,346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$ 6,696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$ 3,348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$ 3,091 </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$ 1,546 </w:t>
            </w:r>
          </w:p>
        </w:tc>
      </w:tr>
      <w:tr w:rsidR="00581B76" w:rsidRPr="002C0D02" w:rsidTr="0084409D">
        <w:trPr>
          <w:trHeight w:val="251"/>
        </w:trPr>
        <w:tc>
          <w:tcPr>
            <w:tcW w:w="2580" w:type="dxa"/>
            <w:shd w:val="clear" w:color="auto" w:fill="auto"/>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$ 8,177</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$ 682 </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$ 341</w:t>
            </w:r>
          </w:p>
        </w:tc>
        <w:tc>
          <w:tcPr>
            <w:tcW w:w="1645"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$ 315</w:t>
            </w:r>
          </w:p>
        </w:tc>
        <w:tc>
          <w:tcPr>
            <w:tcW w:w="1203" w:type="dxa"/>
            <w:vAlign w:val="bottom"/>
          </w:tcPr>
          <w:p w:rsidR="00581B76" w:rsidRPr="002C0D02" w:rsidRDefault="00581B76" w:rsidP="00B33BA3">
            <w:pPr>
              <w:jc w:val="center"/>
              <w:rPr>
                <w:rFonts w:ascii="Arial Narrow" w:hAnsi="Arial Narrow" w:cs="Arial"/>
                <w:bCs/>
                <w:sz w:val="20"/>
              </w:rPr>
            </w:pPr>
            <w:r w:rsidRPr="002C0D02">
              <w:rPr>
                <w:rFonts w:ascii="Arial Narrow" w:hAnsi="Arial Narrow" w:cs="Arial"/>
                <w:bCs/>
                <w:sz w:val="20"/>
              </w:rPr>
              <w:t xml:space="preserve"> $ 158</w:t>
            </w:r>
          </w:p>
        </w:tc>
      </w:tr>
    </w:tbl>
    <w:p w:rsidR="00581B76"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6"/>
          <w:szCs w:val="16"/>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 xml:space="preserve">How to Apply:  To get free or reduced price meals for your children carefully complete one application following the instructions for your household and return it to the designated office listed on the application.  If you now receive SNAP, Temporary Assistance to Needy Families (TANF) for any children or participate in the Food Distribution Program on Indian Reservations (FDPIR), the application must include the children's names, the household SNAP, TANF or FDPIR case number and the signature of an adult household member.  All children should be listed on the same application.  If you do not list a SNAP, TANF or FDPIR case number for any household member,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number or check the box if the adult does not have a social security number.  </w:t>
      </w:r>
      <w:r w:rsidRPr="0084409D">
        <w:rPr>
          <w:rFonts w:ascii="Arial Narrow" w:hAnsi="Arial Narrow"/>
          <w:b/>
          <w:sz w:val="18"/>
          <w:szCs w:val="18"/>
        </w:rPr>
        <w:t xml:space="preserve">An application for free and reduced price benefits cannot be approved unless complete eligibility information is submitted, as indicated on the application and in the instructions. </w:t>
      </w:r>
      <w:r w:rsidRPr="0084409D">
        <w:rPr>
          <w:rFonts w:ascii="Arial Narrow" w:hAnsi="Arial Narrow"/>
          <w:sz w:val="18"/>
          <w:szCs w:val="18"/>
        </w:rPr>
        <w:t>Contact your local Department of Social Services for your SNAP or TANF case number or complete the income portion of the application. No application is necessary if the household was notified by the SFA their children have been directly certified. If the household is not sure if their children have been directly certified, the household should contact the school.</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Reporting Changes:  The benefits that you are approved for at the time of application are effective for the entire school year and up to 30 operating days into the new school year (or until a new eligibility determination is made, whichever comes first). You no longer need to report changes for an increase in income or decrease in household size, or if you no longer receive SNAP.</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rsidR="00581B76" w:rsidRPr="0084409D" w:rsidRDefault="00581B76" w:rsidP="00581B76">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 xml:space="preserve">Reduced Price Eligible Students: </w:t>
      </w:r>
      <w:r w:rsidRPr="0084409D">
        <w:rPr>
          <w:rFonts w:ascii="Arial Narrow" w:hAnsi="Arial Narrow"/>
          <w:b/>
          <w:sz w:val="18"/>
          <w:szCs w:val="18"/>
        </w:rPr>
        <w:t>Beginning July 1, 2019, students in New York State that are approved for reduced price meals will receive breakfast and lunch meals at no charge.</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In the operation of child feeding programs, no child will be discriminated against because of race, sex, color, national origin, age or disability</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center" w:pos="468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 xml:space="preserve">Meal Service to Children </w:t>
      </w:r>
      <w:proofErr w:type="gramStart"/>
      <w:r w:rsidRPr="0084409D">
        <w:rPr>
          <w:rFonts w:ascii="Arial Narrow" w:hAnsi="Arial Narrow"/>
          <w:sz w:val="18"/>
          <w:szCs w:val="18"/>
        </w:rPr>
        <w:t>With</w:t>
      </w:r>
      <w:proofErr w:type="gramEnd"/>
      <w:r w:rsidRPr="0084409D">
        <w:rPr>
          <w:rFonts w:ascii="Arial Narrow" w:hAnsi="Arial Narrow"/>
          <w:sz w:val="18"/>
          <w:szCs w:val="18"/>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 of such individual, a record of such an impairment or being regarded as having such an impairment. Major life activities include but are not limited to: functions such as caring for one’s self, performing manual tasks, seeing, hearing, eating, sleeping, walking, standing, lifting, bending, speaking, breathing, learning, reading, concentrating, thinking, communicating, and working. You must request meal modifications from the school and provide the school with medical statement from a State licensed healthcare professional.  If you believe your child needs substitutions because of a disability, please get in touch with us for further information, as there is specific information that the medical statement must contain.</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Supplemental Nutrition Program for Women Infants and Children (WIC);  the Comptroller  General of the United States for audit purposes, and federal, State or local law enforcement officials investigating alleged violation of the programs under the NSLA or CNA.</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u w:val="single"/>
        </w:rPr>
        <w:t>Reapplication</w:t>
      </w:r>
      <w:r w:rsidRPr="0084409D">
        <w:rPr>
          <w:rFonts w:ascii="Arial Narrow" w:hAnsi="Arial Narrow"/>
          <w:sz w:val="18"/>
          <w:szCs w:val="18"/>
        </w:rPr>
        <w:t>:  You may apply for benefits any time during the school year.  Also, if you are not eligible now, but during the school year become unemployed, have a decrease in household income, or an increase in family size you may request and complete an application at that time.</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The disclosure of eligibility information not specifically authorized by the NSLA requires a written consent statement from the parent/guardian.  We will let you know when your application is approved or denied.</w:t>
      </w:r>
    </w:p>
    <w:p w:rsidR="00581B76"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84409D">
        <w:rPr>
          <w:rFonts w:ascii="Arial Narrow" w:hAnsi="Arial Narrow"/>
          <w:sz w:val="18"/>
          <w:szCs w:val="18"/>
        </w:rPr>
        <w:t xml:space="preserve"> </w:t>
      </w:r>
    </w:p>
    <w:p w:rsidR="0084409D" w:rsidRPr="0084409D"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lang w:val="es-ES"/>
        </w:rPr>
      </w:pPr>
      <w:proofErr w:type="spellStart"/>
      <w:r w:rsidRPr="0084409D">
        <w:rPr>
          <w:rFonts w:ascii="Arial Narrow" w:hAnsi="Arial Narrow"/>
          <w:sz w:val="18"/>
          <w:szCs w:val="18"/>
          <w:lang w:val="es-ES"/>
        </w:rPr>
        <w:t>Sincerely</w:t>
      </w:r>
      <w:proofErr w:type="spellEnd"/>
      <w:r w:rsidRPr="0084409D">
        <w:rPr>
          <w:rFonts w:ascii="Arial Narrow" w:hAnsi="Arial Narrow"/>
          <w:sz w:val="18"/>
          <w:szCs w:val="18"/>
          <w:lang w:val="es-ES"/>
        </w:rPr>
        <w:t xml:space="preserve">, </w:t>
      </w:r>
    </w:p>
    <w:p w:rsidR="0084409D" w:rsidRPr="0084409D" w:rsidRDefault="0084409D"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lang w:val="es-ES"/>
        </w:rPr>
      </w:pPr>
    </w:p>
    <w:p w:rsidR="00973839" w:rsidRDefault="00581B76"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lang w:val="es-ES"/>
        </w:rPr>
      </w:pPr>
      <w:r w:rsidRPr="0084409D">
        <w:rPr>
          <w:rFonts w:ascii="Arial Narrow" w:hAnsi="Arial Narrow"/>
          <w:sz w:val="18"/>
          <w:szCs w:val="18"/>
          <w:lang w:val="es-ES"/>
        </w:rPr>
        <w:t>Rosemarie Hanson</w:t>
      </w:r>
    </w:p>
    <w:p w:rsidR="0084409D" w:rsidRPr="0084409D" w:rsidRDefault="0084409D" w:rsidP="00581B76">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lang w:val="es-ES"/>
        </w:rPr>
      </w:pPr>
      <w:proofErr w:type="spellStart"/>
      <w:r>
        <w:rPr>
          <w:rFonts w:ascii="Arial Narrow" w:hAnsi="Arial Narrow"/>
          <w:sz w:val="18"/>
          <w:szCs w:val="18"/>
          <w:lang w:val="es-ES"/>
        </w:rPr>
        <w:t>Trumansburg</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School</w:t>
      </w:r>
      <w:proofErr w:type="spellEnd"/>
      <w:r>
        <w:rPr>
          <w:rFonts w:ascii="Arial Narrow" w:hAnsi="Arial Narrow"/>
          <w:sz w:val="18"/>
          <w:szCs w:val="18"/>
          <w:lang w:val="es-ES"/>
        </w:rPr>
        <w:t xml:space="preserve"> </w:t>
      </w:r>
      <w:proofErr w:type="spellStart"/>
      <w:r>
        <w:rPr>
          <w:rFonts w:ascii="Arial Narrow" w:hAnsi="Arial Narrow"/>
          <w:sz w:val="18"/>
          <w:szCs w:val="18"/>
          <w:lang w:val="es-ES"/>
        </w:rPr>
        <w:t>Nutrition</w:t>
      </w:r>
      <w:proofErr w:type="spellEnd"/>
    </w:p>
    <w:sectPr w:rsidR="0084409D" w:rsidRPr="0084409D" w:rsidSect="00844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76"/>
    <w:rsid w:val="00581B76"/>
    <w:rsid w:val="0084409D"/>
    <w:rsid w:val="00854573"/>
    <w:rsid w:val="00863BB4"/>
    <w:rsid w:val="00CE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Hanson</dc:creator>
  <cp:lastModifiedBy>Rosemarie Hanson</cp:lastModifiedBy>
  <cp:revision>2</cp:revision>
  <cp:lastPrinted>2019-07-15T15:47:00Z</cp:lastPrinted>
  <dcterms:created xsi:type="dcterms:W3CDTF">2019-07-29T14:52:00Z</dcterms:created>
  <dcterms:modified xsi:type="dcterms:W3CDTF">2019-07-29T14:52:00Z</dcterms:modified>
</cp:coreProperties>
</file>