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2" w:rsidRDefault="007B02F2">
      <w:pPr>
        <w:pStyle w:val="BlockQuotation"/>
        <w:ind w:left="0" w:right="0"/>
      </w:pPr>
    </w:p>
    <w:p w:rsidR="00EE6E05" w:rsidRDefault="00EE6E05" w:rsidP="00EE6E05">
      <w:pPr>
        <w:pStyle w:val="Heading"/>
      </w:pPr>
      <w:r>
        <w:t>What is Credit Flexibility?</w:t>
      </w:r>
    </w:p>
    <w:p w:rsidR="00EE6E05" w:rsidRDefault="00EE6E05" w:rsidP="00EE6E05">
      <w:pPr>
        <w:pStyle w:val="Body"/>
      </w:pPr>
      <w:r>
        <w:t>The credit flexibility initiative is part of a statewide effort to increase learning and engagement and help students</w:t>
      </w:r>
      <w:r w:rsidR="00431C73">
        <w:t>’</w:t>
      </w:r>
      <w:r>
        <w:t xml:space="preserve"> graduate ready for success in college and careers.</w:t>
      </w:r>
    </w:p>
    <w:p w:rsidR="00EE6E05" w:rsidRDefault="00EE6E05" w:rsidP="00EE6E05">
      <w:pPr>
        <w:pStyle w:val="Body"/>
      </w:pPr>
      <w:r>
        <w:t>In addition to earning credit by successfully completing traditional courses, the credit flexibility program provides new options for students including:</w:t>
      </w:r>
    </w:p>
    <w:p w:rsidR="00EE6E05" w:rsidRDefault="00EE6E05" w:rsidP="00EE6E05">
      <w:pPr>
        <w:pStyle w:val="Body"/>
        <w:numPr>
          <w:ilvl w:val="0"/>
          <w:numId w:val="10"/>
        </w:numPr>
        <w:ind w:hanging="360"/>
      </w:pPr>
      <w:r>
        <w:t>Earning credit by demonstrating mastery of the essential content of a traditional course by “testing out,” presenting a portfolio documenting mastery, or a combination of these.</w:t>
      </w:r>
      <w:r w:rsidR="00431C73">
        <w:t xml:space="preserve">  If choosing this option, students need to test-out the quarter before the course is offered.</w:t>
      </w:r>
    </w:p>
    <w:p w:rsidR="00EE6E05" w:rsidRDefault="00EE6E05" w:rsidP="00EE6E05">
      <w:pPr>
        <w:pStyle w:val="Body"/>
        <w:numPr>
          <w:ilvl w:val="0"/>
          <w:numId w:val="10"/>
        </w:numPr>
        <w:ind w:hanging="360"/>
      </w:pPr>
      <w:r>
        <w:t>Successfully completing a mentorship, internship, educational travel, or service learning program aligned to the academic curriculum.</w:t>
      </w:r>
    </w:p>
    <w:p w:rsidR="00EE6E05" w:rsidRDefault="00EE6E05" w:rsidP="00EE6E05">
      <w:pPr>
        <w:pStyle w:val="Body"/>
        <w:numPr>
          <w:ilvl w:val="0"/>
          <w:numId w:val="10"/>
        </w:numPr>
        <w:ind w:hanging="360"/>
      </w:pPr>
      <w:r>
        <w:t>Successfully completing an online course or academic summer or after-school program aligned to the school curriculum.</w:t>
      </w:r>
    </w:p>
    <w:p w:rsidR="00EE6E05" w:rsidRDefault="00EE6E05" w:rsidP="00EE6E05">
      <w:pPr>
        <w:pStyle w:val="Body"/>
        <w:numPr>
          <w:ilvl w:val="0"/>
          <w:numId w:val="10"/>
        </w:numPr>
        <w:ind w:hanging="360"/>
      </w:pPr>
      <w:r>
        <w:t>Successfully combining any of the options above as well as units of traditional courses.</w:t>
      </w:r>
    </w:p>
    <w:p w:rsidR="00EE6E05" w:rsidRPr="0009649A" w:rsidRDefault="00EE6E05" w:rsidP="00EE6E05">
      <w:pPr>
        <w:pStyle w:val="Body"/>
      </w:pPr>
      <w:r>
        <w:t>Credit flexibility is another example of how our district is working to prepare students for the 21st Century by striving to address their unique needs and talents.</w:t>
      </w:r>
    </w:p>
    <w:p w:rsidR="007B02F2" w:rsidRDefault="007B02F2"/>
    <w:p w:rsidR="007B02F2" w:rsidRDefault="007B02F2"/>
    <w:p w:rsidR="007B02F2" w:rsidRDefault="007B02F2"/>
    <w:p w:rsidR="007B02F2" w:rsidRDefault="007B02F2"/>
    <w:p w:rsidR="007B02F2" w:rsidRDefault="007B02F2"/>
    <w:tbl>
      <w:tblPr>
        <w:tblpPr w:leftFromText="240" w:rightFromText="240" w:topFromText="240" w:bottomFromText="240" w:vertAnchor="page" w:horzAnchor="margin" w:tblpXSpec="center" w:tblpY="908"/>
        <w:tblW w:w="4320" w:type="dxa"/>
        <w:shd w:val="clear" w:color="auto" w:fill="D0DDE6"/>
        <w:tblLayout w:type="fixed"/>
        <w:tblLook w:val="0000"/>
      </w:tblPr>
      <w:tblGrid>
        <w:gridCol w:w="4320"/>
      </w:tblGrid>
      <w:tr w:rsidR="000F6C8B">
        <w:trPr>
          <w:cantSplit/>
          <w:trHeight w:val="260"/>
          <w:tblHeader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67EA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C8B" w:rsidRDefault="000F6C8B" w:rsidP="000F6C8B">
            <w:pPr>
              <w:pStyle w:val="FreeForm"/>
              <w:jc w:val="center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Additional Information</w:t>
            </w:r>
          </w:p>
        </w:tc>
      </w:tr>
      <w:tr w:rsidR="000F6C8B">
        <w:trPr>
          <w:cantSplit/>
          <w:trHeight w:val="348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C8B" w:rsidRDefault="000F6C8B" w:rsidP="000F6C8B">
            <w:pPr>
              <w:pStyle w:val="FreeForm"/>
              <w:spacing w:after="120"/>
            </w:pPr>
            <w:r>
              <w:t xml:space="preserve">Additional details and materials related to credit flexibility are available on the high school’s credit flexibility webpage at: </w:t>
            </w:r>
            <w:r w:rsidRPr="00EA34A6">
              <w:rPr>
                <w:color w:val="FF0000"/>
              </w:rPr>
              <w:t>(INSERT</w:t>
            </w:r>
            <w:r w:rsidR="00533AE6">
              <w:rPr>
                <w:color w:val="FF0000"/>
              </w:rPr>
              <w:t xml:space="preserve"> District</w:t>
            </w:r>
            <w:r w:rsidRPr="00EA34A6">
              <w:rPr>
                <w:color w:val="FF0000"/>
              </w:rPr>
              <w:t xml:space="preserve"> URL)</w:t>
            </w:r>
          </w:p>
          <w:p w:rsidR="000F6C8B" w:rsidRDefault="00DD52AE" w:rsidP="000F6C8B">
            <w:pPr>
              <w:pStyle w:val="FreeForm"/>
              <w:spacing w:after="120"/>
            </w:pPr>
            <w:r>
              <w:t>Additional resources include the following:</w:t>
            </w:r>
          </w:p>
          <w:p w:rsidR="000F6C8B" w:rsidRDefault="000F6C8B" w:rsidP="000F6C8B">
            <w:pPr>
              <w:pStyle w:val="FreeForm"/>
              <w:spacing w:after="120"/>
            </w:pPr>
            <w:r>
              <w:t>Board of Education credit flexibility policy</w:t>
            </w:r>
          </w:p>
          <w:p w:rsidR="00533AE6" w:rsidRDefault="00533AE6" w:rsidP="000F6C8B">
            <w:pPr>
              <w:pStyle w:val="FreeForm"/>
              <w:spacing w:after="120"/>
            </w:pPr>
            <w:r>
              <w:t>Credit Flex Proposal Cover Page (form A)</w:t>
            </w:r>
          </w:p>
          <w:p w:rsidR="000F6C8B" w:rsidRDefault="00533AE6" w:rsidP="000F6C8B">
            <w:pPr>
              <w:pStyle w:val="FreeForm"/>
              <w:spacing w:after="120"/>
            </w:pPr>
            <w:r>
              <w:t>Credit by Educational O</w:t>
            </w:r>
            <w:r w:rsidR="000F6C8B">
              <w:t>ption</w:t>
            </w:r>
            <w:r>
              <w:t>s Proposal F</w:t>
            </w:r>
            <w:r w:rsidR="000F6C8B">
              <w:t>orm</w:t>
            </w:r>
            <w:r>
              <w:t xml:space="preserve"> (form B)</w:t>
            </w:r>
          </w:p>
          <w:p w:rsidR="00533AE6" w:rsidRDefault="00533AE6" w:rsidP="000F6C8B">
            <w:pPr>
              <w:pStyle w:val="FreeForm"/>
              <w:spacing w:after="120"/>
            </w:pPr>
            <w:r>
              <w:t>Credit by Demonstration of Mastery Proposal Form (form C)</w:t>
            </w:r>
          </w:p>
          <w:p w:rsidR="000F6C8B" w:rsidRDefault="00533AE6" w:rsidP="000F6C8B">
            <w:pPr>
              <w:pStyle w:val="FreeForm"/>
              <w:spacing w:after="120"/>
            </w:pPr>
            <w:r>
              <w:t>Credit Flexibility A</w:t>
            </w:r>
            <w:r w:rsidR="000F6C8B">
              <w:t xml:space="preserve">ppeals </w:t>
            </w:r>
            <w:r>
              <w:t>Process (</w:t>
            </w:r>
            <w:r w:rsidR="000F6C8B">
              <w:t>form</w:t>
            </w:r>
            <w:r>
              <w:t xml:space="preserve"> D</w:t>
            </w:r>
          </w:p>
          <w:p w:rsidR="000F6C8B" w:rsidRDefault="000F6C8B" w:rsidP="000F6C8B">
            <w:pPr>
              <w:pStyle w:val="FreeForm"/>
              <w:spacing w:after="120"/>
            </w:pPr>
            <w:r>
              <w:t>Online and community-based learning options developed or sponsored by the district</w:t>
            </w:r>
          </w:p>
          <w:p w:rsidR="000F6C8B" w:rsidRDefault="000F6C8B" w:rsidP="000F6C8B">
            <w:pPr>
              <w:pStyle w:val="FreeForm"/>
              <w:spacing w:after="120"/>
            </w:pPr>
            <w:r>
              <w:t>Credit flexibility information for student athletes (sports eligibility requirements)</w:t>
            </w:r>
          </w:p>
        </w:tc>
      </w:tr>
    </w:tbl>
    <w:p w:rsidR="007B02F2" w:rsidRDefault="00DD52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5pt;margin-top:260.05pt;width:205.45pt;height:198.1pt;z-index:-251658752;mso-position-horizontal-relative:text;mso-position-vertical-relative:text" stroked="f">
            <v:textbox>
              <w:txbxContent>
                <w:p w:rsidR="007B6B45" w:rsidRDefault="007B6B45"/>
              </w:txbxContent>
            </v:textbox>
          </v:shape>
        </w:pict>
      </w:r>
    </w:p>
    <w:p w:rsidR="00DD52AE" w:rsidRDefault="00DD52AE" w:rsidP="00DD52AE">
      <w:pPr>
        <w:jc w:val="center"/>
      </w:pPr>
      <w:r>
        <w:t xml:space="preserve">This program has been developed in cooperation with the                             </w:t>
      </w:r>
      <w:r w:rsidRPr="00DD52AE">
        <w:rPr>
          <w:b/>
        </w:rPr>
        <w:t>Ross-Pike Educational Service District</w:t>
      </w:r>
      <w:r>
        <w:t xml:space="preserve">  Ross County Office                                 475 Western Ave. Suite E             Chillicothe, OH 45601                        </w:t>
      </w:r>
      <w:r>
        <w:lastRenderedPageBreak/>
        <w:t>Phone 740</w:t>
      </w:r>
      <w:r w:rsidR="00431C73">
        <w:t>-</w:t>
      </w:r>
      <w:r>
        <w:t>702</w:t>
      </w:r>
      <w:r w:rsidR="00431C73">
        <w:t>-</w:t>
      </w:r>
      <w:r>
        <w:t>3120                                  Fax 740</w:t>
      </w:r>
      <w:r w:rsidR="00431C73">
        <w:t>-</w:t>
      </w:r>
      <w:r>
        <w:t>702</w:t>
      </w:r>
      <w:r w:rsidR="00431C73">
        <w:t>-</w:t>
      </w:r>
      <w:r>
        <w:t>3123</w:t>
      </w:r>
    </w:p>
    <w:p w:rsidR="00DD52AE" w:rsidRDefault="00DD52AE" w:rsidP="00DD52AE">
      <w:pPr>
        <w:jc w:val="center"/>
      </w:pPr>
      <w:r>
        <w:t xml:space="preserve">Pike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Office</w:t>
          </w:r>
        </w:smartTag>
      </w:smartTag>
      <w:r>
        <w:t xml:space="preserve">                                  100 </w:t>
      </w:r>
      <w:smartTag w:uri="urn:schemas-microsoft-com:office:smarttags" w:element="Street">
        <w:r>
          <w:t>E. Third St.</w:t>
        </w:r>
      </w:smartTag>
      <w:r>
        <w:t xml:space="preserve">                                 Piketon, OH 45661                              Phone 740</w:t>
      </w:r>
      <w:r w:rsidR="00431C73">
        <w:t>-</w:t>
      </w:r>
      <w:r>
        <w:t>289</w:t>
      </w:r>
      <w:r w:rsidR="00431C73">
        <w:t>-</w:t>
      </w:r>
      <w:r>
        <w:t>4171                                  Fax 740</w:t>
      </w:r>
      <w:r w:rsidR="00431C73">
        <w:t>-</w:t>
      </w:r>
      <w:r>
        <w:t>289</w:t>
      </w:r>
      <w:r w:rsidR="00431C73">
        <w:t>-</w:t>
      </w:r>
      <w:r>
        <w:t>4542</w:t>
      </w:r>
    </w:p>
    <w:p w:rsidR="007B02F2" w:rsidRDefault="00EE6E05" w:rsidP="00EE6E05">
      <w:pPr>
        <w:pStyle w:val="Title"/>
      </w:pPr>
      <w:r>
        <w:t>Credit Flexibility:     a Guide for Students and Families</w:t>
      </w:r>
    </w:p>
    <w:p w:rsidR="007B02F2" w:rsidRDefault="007B02F2"/>
    <w:p w:rsidR="007B02F2" w:rsidRDefault="00EE6E05" w:rsidP="00EE6E05">
      <w:pPr>
        <w:spacing w:after="0" w:line="240" w:lineRule="auto"/>
        <w:jc w:val="center"/>
        <w:sectPr w:rsidR="007B02F2" w:rsidSect="00EE6E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835" w:bottom="720" w:left="720" w:header="0" w:footer="0" w:gutter="0"/>
          <w:cols w:num="3" w:space="1440"/>
          <w:titlePg/>
          <w:docGrid w:linePitch="360"/>
        </w:sectPr>
      </w:pPr>
      <w:r>
        <w:t>(School Logo- Contact Info.)</w:t>
      </w:r>
    </w:p>
    <w:p w:rsidR="00EE6E05" w:rsidRDefault="00EE6E05" w:rsidP="00EE6E05">
      <w:pPr>
        <w:pStyle w:val="Heading"/>
      </w:pPr>
      <w:r>
        <w:lastRenderedPageBreak/>
        <w:t>What Does It Mean?</w:t>
      </w:r>
    </w:p>
    <w:p w:rsidR="00EE6E05" w:rsidRPr="00EE6E05" w:rsidRDefault="00EE6E05" w:rsidP="00EE6E05">
      <w:pPr>
        <w:pStyle w:val="Body"/>
      </w:pPr>
      <w:r>
        <w:t>Benefits to Students</w:t>
      </w:r>
    </w:p>
    <w:p w:rsidR="007B02F2" w:rsidRPr="000F6C8B" w:rsidRDefault="00EE6E05">
      <w:pPr>
        <w:pStyle w:val="BodyText"/>
        <w:rPr>
          <w:sz w:val="22"/>
          <w:szCs w:val="22"/>
        </w:rPr>
      </w:pPr>
      <w:r w:rsidRPr="000F6C8B">
        <w:rPr>
          <w:sz w:val="22"/>
          <w:szCs w:val="22"/>
        </w:rPr>
        <w:t>The flexible routes to accumulating high school credit will make it possible for students to own and customize learning through increased opportunities for real-world experiences that relate to their interests and career aspirations.</w:t>
      </w:r>
    </w:p>
    <w:p w:rsidR="00EE6E05" w:rsidRPr="000F6C8B" w:rsidRDefault="00EE6E05">
      <w:pPr>
        <w:pStyle w:val="BodyText"/>
        <w:rPr>
          <w:sz w:val="22"/>
          <w:szCs w:val="22"/>
        </w:rPr>
      </w:pPr>
      <w:r w:rsidRPr="000F6C8B">
        <w:rPr>
          <w:sz w:val="22"/>
          <w:szCs w:val="22"/>
        </w:rPr>
        <w:t>Students may earn credits by:</w:t>
      </w:r>
    </w:p>
    <w:p w:rsidR="00EE6E05" w:rsidRPr="000F6C8B" w:rsidRDefault="00EE6E05" w:rsidP="00EE6E05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0F6C8B">
        <w:rPr>
          <w:sz w:val="22"/>
          <w:szCs w:val="22"/>
        </w:rPr>
        <w:t>Completing Coursework;</w:t>
      </w:r>
    </w:p>
    <w:p w:rsidR="00EE6E05" w:rsidRPr="000F6C8B" w:rsidRDefault="00EE6E05" w:rsidP="00EE6E05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0F6C8B">
        <w:rPr>
          <w:sz w:val="22"/>
          <w:szCs w:val="22"/>
        </w:rPr>
        <w:t>Testing out of or demonstrating mastery of course content; or</w:t>
      </w:r>
    </w:p>
    <w:p w:rsidR="00EE6E05" w:rsidRPr="000F6C8B" w:rsidRDefault="00EE6E05" w:rsidP="00EE6E05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0F6C8B">
        <w:rPr>
          <w:sz w:val="22"/>
          <w:szCs w:val="22"/>
        </w:rPr>
        <w:t>Pursuing one or more “educational options” (for example, distance learning, educational travel, independent study, an internship, music, arts, after-school/tutorial program, community service or other engagement projects).</w:t>
      </w:r>
    </w:p>
    <w:p w:rsidR="000F6C8B" w:rsidRPr="000F6C8B" w:rsidRDefault="000F6C8B" w:rsidP="000F6C8B">
      <w:pPr>
        <w:pStyle w:val="BodyText"/>
        <w:rPr>
          <w:sz w:val="22"/>
          <w:szCs w:val="22"/>
        </w:rPr>
      </w:pPr>
      <w:r w:rsidRPr="000F6C8B">
        <w:rPr>
          <w:sz w:val="22"/>
          <w:szCs w:val="22"/>
        </w:rPr>
        <w:t>Credit flexibility allows:</w:t>
      </w:r>
    </w:p>
    <w:p w:rsidR="000F6C8B" w:rsidRPr="000F6C8B" w:rsidRDefault="000F6C8B" w:rsidP="000F6C8B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0F6C8B">
        <w:rPr>
          <w:sz w:val="22"/>
          <w:szCs w:val="22"/>
        </w:rPr>
        <w:t>Access to more learning resources;</w:t>
      </w:r>
    </w:p>
    <w:p w:rsidR="000F6C8B" w:rsidRPr="000F6C8B" w:rsidRDefault="000F6C8B" w:rsidP="000F6C8B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0F6C8B">
        <w:rPr>
          <w:sz w:val="22"/>
          <w:szCs w:val="22"/>
        </w:rPr>
        <w:t>Customization around individual student needs; and</w:t>
      </w:r>
    </w:p>
    <w:p w:rsidR="00431C73" w:rsidRDefault="000F6C8B" w:rsidP="000E2407">
      <w:pPr>
        <w:pStyle w:val="BodyText"/>
        <w:numPr>
          <w:ilvl w:val="0"/>
          <w:numId w:val="13"/>
        </w:numPr>
        <w:rPr>
          <w:sz w:val="22"/>
          <w:szCs w:val="22"/>
        </w:rPr>
      </w:pPr>
      <w:r w:rsidRPr="000F6C8B">
        <w:rPr>
          <w:sz w:val="22"/>
          <w:szCs w:val="22"/>
        </w:rPr>
        <w:t>Use of multiple measures of learning</w:t>
      </w:r>
    </w:p>
    <w:p w:rsidR="000E2407" w:rsidRPr="000E2407" w:rsidRDefault="000E2407" w:rsidP="000E240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For students in grades 7 and/or 8 to access high school credits via Credit Flex, they must be classified as “accelerated” under the school district acceleration policy (with high school status).</w:t>
      </w:r>
    </w:p>
    <w:p w:rsidR="000F6C8B" w:rsidRDefault="000F6C8B" w:rsidP="000F6C8B">
      <w:pPr>
        <w:pStyle w:val="BodyText"/>
        <w:ind w:left="360"/>
      </w:pPr>
    </w:p>
    <w:p w:rsidR="000F6C8B" w:rsidRDefault="000F6C8B" w:rsidP="000F6C8B">
      <w:pPr>
        <w:pStyle w:val="BodyText"/>
        <w:ind w:left="360"/>
      </w:pPr>
    </w:p>
    <w:p w:rsidR="000F6C8B" w:rsidRDefault="000F6C8B" w:rsidP="000F6C8B">
      <w:pPr>
        <w:pStyle w:val="BodyText"/>
        <w:ind w:left="360"/>
      </w:pPr>
    </w:p>
    <w:p w:rsidR="000F6C8B" w:rsidRDefault="000F6C8B" w:rsidP="000F6C8B">
      <w:pPr>
        <w:pStyle w:val="BodyText"/>
        <w:ind w:left="360"/>
      </w:pPr>
    </w:p>
    <w:p w:rsidR="000F6C8B" w:rsidRDefault="000F6C8B" w:rsidP="000F6C8B">
      <w:pPr>
        <w:pStyle w:val="BodyText"/>
        <w:ind w:left="360"/>
      </w:pPr>
    </w:p>
    <w:p w:rsidR="00EE6E05" w:rsidRDefault="00EE6E05" w:rsidP="00EE6E05">
      <w:pPr>
        <w:pStyle w:val="Heading"/>
      </w:pPr>
      <w:r>
        <w:t xml:space="preserve">Earning Credit By Demonstrating Mastery </w:t>
      </w:r>
    </w:p>
    <w:p w:rsidR="00EE6E05" w:rsidRPr="000F6C8B" w:rsidRDefault="00EE6E05" w:rsidP="00EE6E05">
      <w:pPr>
        <w:pStyle w:val="Body"/>
        <w:rPr>
          <w:rFonts w:ascii="Garamond" w:hAnsi="Garamond"/>
          <w:sz w:val="22"/>
          <w:szCs w:val="22"/>
        </w:rPr>
      </w:pPr>
      <w:r w:rsidRPr="000F6C8B">
        <w:rPr>
          <w:rFonts w:ascii="Garamond" w:hAnsi="Garamond"/>
          <w:sz w:val="22"/>
          <w:szCs w:val="22"/>
        </w:rPr>
        <w:t>Students may earn high school credit by demonstrating mastery of essential content and skills addressed in any traditional high school course offered by the district.</w:t>
      </w:r>
    </w:p>
    <w:p w:rsidR="00EE6E05" w:rsidRPr="000F6C8B" w:rsidRDefault="00EE6E05" w:rsidP="00EE6E05">
      <w:pPr>
        <w:pStyle w:val="Body"/>
        <w:rPr>
          <w:rFonts w:ascii="Garamond" w:hAnsi="Garamond"/>
          <w:sz w:val="22"/>
          <w:szCs w:val="22"/>
        </w:rPr>
      </w:pPr>
      <w:r w:rsidRPr="000F6C8B">
        <w:rPr>
          <w:rFonts w:ascii="Garamond" w:hAnsi="Garamond"/>
          <w:sz w:val="22"/>
          <w:szCs w:val="22"/>
        </w:rPr>
        <w:t>Demonstrations of mastery may involve completing a comprehensive examination, submitting a portfolio of work, or a combination of these.  For credit in the arts, demonstrations of mastery may also include performances or exhibitions.</w:t>
      </w:r>
    </w:p>
    <w:p w:rsidR="00EE6E05" w:rsidRPr="000F6C8B" w:rsidRDefault="00EE6E05" w:rsidP="00EE6E05">
      <w:pPr>
        <w:pStyle w:val="Body"/>
        <w:rPr>
          <w:rFonts w:ascii="Garamond" w:hAnsi="Garamond"/>
          <w:sz w:val="22"/>
          <w:szCs w:val="22"/>
        </w:rPr>
      </w:pPr>
      <w:r w:rsidRPr="000F6C8B">
        <w:rPr>
          <w:rFonts w:ascii="Garamond" w:hAnsi="Garamond"/>
          <w:sz w:val="22"/>
          <w:szCs w:val="22"/>
        </w:rPr>
        <w:t xml:space="preserve">When students request the opportunity to earn credit for completing the content of a course offered by the district, the district will provide to the student information about its requirements, methods to be used for assessing mastery, and grading criteria.  </w:t>
      </w:r>
    </w:p>
    <w:p w:rsidR="00EE6E05" w:rsidRPr="000F6C8B" w:rsidRDefault="00EE6E05" w:rsidP="00EE6E05">
      <w:pPr>
        <w:pStyle w:val="Body"/>
        <w:rPr>
          <w:rFonts w:ascii="Garamond" w:hAnsi="Garamond"/>
          <w:sz w:val="22"/>
          <w:szCs w:val="22"/>
        </w:rPr>
      </w:pPr>
      <w:r w:rsidRPr="000F6C8B">
        <w:rPr>
          <w:rFonts w:ascii="Garamond" w:hAnsi="Garamond"/>
          <w:sz w:val="22"/>
          <w:szCs w:val="22"/>
        </w:rPr>
        <w:t xml:space="preserve">The district will also work with the student to schedule times for the student to participate in testing and/or present his or her portfolio.  </w:t>
      </w:r>
    </w:p>
    <w:p w:rsidR="00EE6E05" w:rsidRPr="000F6C8B" w:rsidRDefault="00EE6E05" w:rsidP="00EE6E05">
      <w:pPr>
        <w:pStyle w:val="Body"/>
        <w:rPr>
          <w:rFonts w:ascii="Garamond" w:hAnsi="Garamond"/>
          <w:sz w:val="22"/>
          <w:szCs w:val="22"/>
        </w:rPr>
      </w:pPr>
      <w:r w:rsidRPr="000F6C8B">
        <w:rPr>
          <w:rFonts w:ascii="Garamond" w:hAnsi="Garamond"/>
          <w:sz w:val="22"/>
          <w:szCs w:val="22"/>
        </w:rPr>
        <w:t>Typically, the district will use portions of exams developed for a traditional course (e.g. mid-term and final exams) or a standardized test (such as an AP test, achievement test, or end-of-course exam) and/or a portfolio evaluation rubric.  If a student completes the assessment process prior to the start of a term, he or she will be given the opportunity to accept the grade earned based on this process or enroll in the equivalent traditional course</w:t>
      </w:r>
      <w:r w:rsidR="00533AE6">
        <w:rPr>
          <w:rFonts w:ascii="Garamond" w:hAnsi="Garamond"/>
          <w:sz w:val="22"/>
          <w:szCs w:val="22"/>
        </w:rPr>
        <w:t xml:space="preserve"> (final grade will be based on district policy)</w:t>
      </w:r>
      <w:r w:rsidRPr="000F6C8B">
        <w:rPr>
          <w:rFonts w:ascii="Garamond" w:hAnsi="Garamond"/>
          <w:sz w:val="22"/>
          <w:szCs w:val="22"/>
        </w:rPr>
        <w:t>.</w:t>
      </w:r>
    </w:p>
    <w:p w:rsidR="00EE6E05" w:rsidRPr="000F6C8B" w:rsidRDefault="00EE6E05" w:rsidP="00EE6E05">
      <w:pPr>
        <w:pStyle w:val="Body"/>
        <w:rPr>
          <w:rFonts w:ascii="Arial Narrow" w:eastAsia="Times New Roman" w:hAnsi="Arial Narrow"/>
          <w:color w:val="auto"/>
          <w:sz w:val="22"/>
          <w:szCs w:val="22"/>
          <w:lang w:val="en-US" w:eastAsia="en-US"/>
        </w:rPr>
      </w:pPr>
      <w:r w:rsidRPr="000F6C8B">
        <w:rPr>
          <w:rFonts w:ascii="Garamond" w:hAnsi="Garamond"/>
          <w:sz w:val="22"/>
          <w:szCs w:val="22"/>
        </w:rPr>
        <w:t>While the district will make every effort to minimize costs, students’ families may be asked to contribute to the cost of</w:t>
      </w:r>
      <w:r w:rsidR="00533AE6">
        <w:rPr>
          <w:rFonts w:ascii="Garamond" w:hAnsi="Garamond"/>
          <w:sz w:val="22"/>
          <w:szCs w:val="22"/>
        </w:rPr>
        <w:t xml:space="preserve"> special instructional fees</w:t>
      </w:r>
      <w:r w:rsidRPr="000F6C8B">
        <w:rPr>
          <w:rFonts w:ascii="Garamond" w:hAnsi="Garamond"/>
          <w:sz w:val="22"/>
          <w:szCs w:val="22"/>
        </w:rPr>
        <w:t>.  Assessments will be administered free of charge</w:t>
      </w:r>
      <w:r w:rsidRPr="000F6C8B">
        <w:rPr>
          <w:rFonts w:ascii="Arial Narrow" w:hAnsi="Arial Narrow"/>
          <w:sz w:val="22"/>
          <w:szCs w:val="22"/>
        </w:rPr>
        <w:t>.</w:t>
      </w:r>
    </w:p>
    <w:p w:rsidR="00EE6E05" w:rsidRDefault="00EE6E05" w:rsidP="00EE6E05">
      <w:pPr>
        <w:pStyle w:val="Heading"/>
      </w:pPr>
      <w:r>
        <w:t>Earning Credit Through “Educational Options”</w:t>
      </w:r>
    </w:p>
    <w:p w:rsidR="00EE6E05" w:rsidRPr="000F6C8B" w:rsidRDefault="00EE6E05" w:rsidP="00EE6E05">
      <w:pPr>
        <w:pStyle w:val="Body"/>
        <w:spacing w:after="120"/>
        <w:rPr>
          <w:rFonts w:ascii="Garamond" w:hAnsi="Garamond"/>
          <w:sz w:val="21"/>
          <w:szCs w:val="21"/>
        </w:rPr>
      </w:pPr>
      <w:r w:rsidRPr="000F6C8B">
        <w:rPr>
          <w:rFonts w:ascii="Garamond" w:hAnsi="Garamond"/>
          <w:sz w:val="21"/>
          <w:szCs w:val="21"/>
        </w:rPr>
        <w:t>Students may earn high school credit by successfully completing academically-focused educational options, which may include</w:t>
      </w:r>
      <w:r w:rsidR="00533AE6">
        <w:rPr>
          <w:rFonts w:ascii="Garamond" w:hAnsi="Garamond"/>
          <w:sz w:val="21"/>
          <w:szCs w:val="21"/>
        </w:rPr>
        <w:t xml:space="preserve"> the following</w:t>
      </w:r>
      <w:r w:rsidRPr="000F6C8B">
        <w:rPr>
          <w:rFonts w:ascii="Garamond" w:hAnsi="Garamond"/>
          <w:sz w:val="21"/>
          <w:szCs w:val="21"/>
        </w:rPr>
        <w:t>:</w:t>
      </w:r>
    </w:p>
    <w:p w:rsidR="00EE6E05" w:rsidRPr="000F6C8B" w:rsidRDefault="00EE6E05" w:rsidP="00EE6E05">
      <w:pPr>
        <w:pStyle w:val="Body"/>
        <w:numPr>
          <w:ilvl w:val="0"/>
          <w:numId w:val="11"/>
        </w:numPr>
        <w:spacing w:after="120"/>
        <w:ind w:hanging="360"/>
        <w:rPr>
          <w:rFonts w:ascii="Garamond" w:hAnsi="Garamond"/>
          <w:sz w:val="21"/>
          <w:szCs w:val="21"/>
        </w:rPr>
      </w:pPr>
      <w:r w:rsidRPr="000F6C8B">
        <w:rPr>
          <w:rFonts w:ascii="Garamond" w:hAnsi="Garamond"/>
          <w:sz w:val="21"/>
          <w:szCs w:val="21"/>
        </w:rPr>
        <w:t>Internships and mentorships with busines</w:t>
      </w:r>
      <w:r w:rsidR="00533AE6">
        <w:rPr>
          <w:rFonts w:ascii="Garamond" w:hAnsi="Garamond"/>
          <w:sz w:val="21"/>
          <w:szCs w:val="21"/>
        </w:rPr>
        <w:t>ses and community organizations,</w:t>
      </w:r>
    </w:p>
    <w:p w:rsidR="00EE6E05" w:rsidRPr="000F6C8B" w:rsidRDefault="00533AE6" w:rsidP="00EE6E05">
      <w:pPr>
        <w:pStyle w:val="Body"/>
        <w:numPr>
          <w:ilvl w:val="0"/>
          <w:numId w:val="11"/>
        </w:numPr>
        <w:spacing w:after="120"/>
        <w:ind w:hanging="36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Service learning programs,</w:t>
      </w:r>
    </w:p>
    <w:p w:rsidR="00EE6E05" w:rsidRPr="000F6C8B" w:rsidRDefault="00533AE6" w:rsidP="00EE6E05">
      <w:pPr>
        <w:pStyle w:val="Body"/>
        <w:numPr>
          <w:ilvl w:val="0"/>
          <w:numId w:val="11"/>
        </w:numPr>
        <w:spacing w:after="120"/>
        <w:ind w:hanging="36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Online programs,</w:t>
      </w:r>
    </w:p>
    <w:p w:rsidR="00EE6E05" w:rsidRPr="000F6C8B" w:rsidRDefault="00EE6E05" w:rsidP="00EE6E05">
      <w:pPr>
        <w:pStyle w:val="Body"/>
        <w:numPr>
          <w:ilvl w:val="0"/>
          <w:numId w:val="11"/>
        </w:numPr>
        <w:spacing w:after="120"/>
        <w:ind w:hanging="360"/>
        <w:rPr>
          <w:rFonts w:ascii="Garamond" w:hAnsi="Garamond"/>
          <w:sz w:val="21"/>
          <w:szCs w:val="21"/>
        </w:rPr>
      </w:pPr>
      <w:r w:rsidRPr="000F6C8B">
        <w:rPr>
          <w:rFonts w:ascii="Garamond" w:hAnsi="Garamond"/>
          <w:sz w:val="21"/>
          <w:szCs w:val="21"/>
        </w:rPr>
        <w:t xml:space="preserve">Guided “independent study” experiences, </w:t>
      </w:r>
    </w:p>
    <w:p w:rsidR="00EE6E05" w:rsidRPr="000F6C8B" w:rsidRDefault="00EE6E05" w:rsidP="00EE6E05">
      <w:pPr>
        <w:pStyle w:val="Body"/>
        <w:numPr>
          <w:ilvl w:val="0"/>
          <w:numId w:val="11"/>
        </w:numPr>
        <w:spacing w:after="120"/>
        <w:ind w:hanging="360"/>
        <w:rPr>
          <w:rFonts w:ascii="Garamond" w:hAnsi="Garamond"/>
          <w:sz w:val="21"/>
          <w:szCs w:val="21"/>
        </w:rPr>
      </w:pPr>
      <w:r w:rsidRPr="000F6C8B">
        <w:rPr>
          <w:rFonts w:ascii="Garamond" w:hAnsi="Garamond"/>
          <w:sz w:val="21"/>
          <w:szCs w:val="21"/>
        </w:rPr>
        <w:t xml:space="preserve">Educational travel programs. </w:t>
      </w:r>
    </w:p>
    <w:p w:rsidR="00EE6E05" w:rsidRPr="000F6C8B" w:rsidRDefault="00533AE6" w:rsidP="00EE6E05">
      <w:pPr>
        <w:pStyle w:val="Body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Students will</w:t>
      </w:r>
      <w:r w:rsidR="00EE6E05" w:rsidRPr="000F6C8B">
        <w:rPr>
          <w:rFonts w:ascii="Garamond" w:hAnsi="Garamond"/>
          <w:sz w:val="21"/>
          <w:szCs w:val="21"/>
        </w:rPr>
        <w:t xml:space="preserve"> propose their own “educational options plans.”  This option may be useful when a student wishes to pursue an interest in a specialized topic, or when a student has a unique opportunity to participate in a special program outside the school (e.g. study abroad, summer programs, or online programs not offered directly by the district.)  </w:t>
      </w:r>
    </w:p>
    <w:p w:rsidR="00EE6E05" w:rsidRPr="000F6C8B" w:rsidRDefault="00EE6E05" w:rsidP="00EE6E05">
      <w:pPr>
        <w:pStyle w:val="Body"/>
        <w:rPr>
          <w:rFonts w:ascii="Garamond" w:hAnsi="Garamond"/>
          <w:sz w:val="21"/>
          <w:szCs w:val="21"/>
        </w:rPr>
      </w:pPr>
      <w:r w:rsidRPr="000F6C8B">
        <w:rPr>
          <w:rFonts w:ascii="Garamond" w:hAnsi="Garamond"/>
          <w:sz w:val="21"/>
          <w:szCs w:val="21"/>
        </w:rPr>
        <w:t>Students must obtain prior approval of student-proposed educational options plans to be eligible for credit.  Students consider</w:t>
      </w:r>
      <w:r w:rsidR="00533AE6">
        <w:rPr>
          <w:rFonts w:ascii="Garamond" w:hAnsi="Garamond"/>
          <w:sz w:val="21"/>
          <w:szCs w:val="21"/>
        </w:rPr>
        <w:t>ing this o</w:t>
      </w:r>
      <w:r w:rsidR="007B6B45">
        <w:rPr>
          <w:rFonts w:ascii="Garamond" w:hAnsi="Garamond"/>
          <w:sz w:val="21"/>
          <w:szCs w:val="21"/>
        </w:rPr>
        <w:t>ption should obtain a Credit by Educational Options Proposal P</w:t>
      </w:r>
      <w:r w:rsidRPr="000F6C8B">
        <w:rPr>
          <w:rFonts w:ascii="Garamond" w:hAnsi="Garamond"/>
          <w:sz w:val="21"/>
          <w:szCs w:val="21"/>
        </w:rPr>
        <w:t>acket from the guidance office and submit it at</w:t>
      </w:r>
      <w:r w:rsidR="00207409">
        <w:rPr>
          <w:rFonts w:ascii="Garamond" w:hAnsi="Garamond"/>
          <w:color w:val="auto"/>
          <w:sz w:val="21"/>
          <w:szCs w:val="21"/>
        </w:rPr>
        <w:t xml:space="preserve"> least </w:t>
      </w:r>
      <w:r w:rsidR="00207409" w:rsidRPr="00207409">
        <w:rPr>
          <w:rFonts w:ascii="Garamond" w:hAnsi="Garamond"/>
          <w:color w:val="FF0000"/>
          <w:sz w:val="21"/>
          <w:szCs w:val="21"/>
          <w:u w:val="single"/>
        </w:rPr>
        <w:t>20</w:t>
      </w:r>
      <w:r w:rsidR="00AD0ED0">
        <w:rPr>
          <w:rFonts w:ascii="Garamond" w:hAnsi="Garamond"/>
          <w:color w:val="auto"/>
          <w:sz w:val="21"/>
          <w:szCs w:val="21"/>
        </w:rPr>
        <w:t xml:space="preserve"> </w:t>
      </w:r>
      <w:r w:rsidR="00207409">
        <w:rPr>
          <w:rFonts w:ascii="Garamond" w:hAnsi="Garamond"/>
          <w:color w:val="auto"/>
          <w:sz w:val="21"/>
          <w:szCs w:val="21"/>
        </w:rPr>
        <w:t xml:space="preserve">school </w:t>
      </w:r>
      <w:r w:rsidRPr="000F6C8B">
        <w:rPr>
          <w:rFonts w:ascii="Garamond" w:hAnsi="Garamond"/>
          <w:color w:val="auto"/>
          <w:sz w:val="21"/>
          <w:szCs w:val="21"/>
        </w:rPr>
        <w:t xml:space="preserve">days </w:t>
      </w:r>
      <w:r w:rsidRPr="000F6C8B">
        <w:rPr>
          <w:rFonts w:ascii="Garamond" w:hAnsi="Garamond"/>
          <w:sz w:val="21"/>
          <w:szCs w:val="21"/>
        </w:rPr>
        <w:t xml:space="preserve">prior to the start of the </w:t>
      </w:r>
      <w:r w:rsidR="00AD0ED0">
        <w:rPr>
          <w:rFonts w:ascii="Garamond" w:hAnsi="Garamond"/>
          <w:sz w:val="21"/>
          <w:szCs w:val="21"/>
        </w:rPr>
        <w:t xml:space="preserve">quarter or </w:t>
      </w:r>
      <w:r w:rsidRPr="000F6C8B">
        <w:rPr>
          <w:rFonts w:ascii="Garamond" w:hAnsi="Garamond"/>
          <w:sz w:val="21"/>
          <w:szCs w:val="21"/>
        </w:rPr>
        <w:t>semester during which he or she plans to participate.</w:t>
      </w:r>
    </w:p>
    <w:p w:rsidR="00EE6E05" w:rsidRPr="000F6C8B" w:rsidRDefault="007B6B45" w:rsidP="00EE6E05">
      <w:pPr>
        <w:pStyle w:val="Body"/>
        <w:rPr>
          <w:rFonts w:ascii="Garamond" w:eastAsia="Times New Roman" w:hAnsi="Garamond"/>
          <w:color w:val="auto"/>
          <w:sz w:val="21"/>
          <w:szCs w:val="21"/>
          <w:lang w:val="en-US" w:eastAsia="en-US"/>
        </w:rPr>
      </w:pPr>
      <w:r>
        <w:rPr>
          <w:rFonts w:ascii="Garamond" w:hAnsi="Garamond"/>
          <w:sz w:val="21"/>
          <w:szCs w:val="21"/>
        </w:rPr>
        <w:t>S</w:t>
      </w:r>
      <w:r w:rsidR="00EE6E05" w:rsidRPr="000F6C8B">
        <w:rPr>
          <w:rFonts w:ascii="Garamond" w:hAnsi="Garamond"/>
          <w:sz w:val="21"/>
          <w:szCs w:val="21"/>
        </w:rPr>
        <w:t xml:space="preserve">tudents’ families may be asked to contribute to the cost of </w:t>
      </w:r>
      <w:r>
        <w:rPr>
          <w:rFonts w:ascii="Garamond" w:hAnsi="Garamond"/>
          <w:sz w:val="21"/>
          <w:szCs w:val="21"/>
        </w:rPr>
        <w:t xml:space="preserve">educational options </w:t>
      </w:r>
      <w:r w:rsidR="00EE6E05" w:rsidRPr="000F6C8B">
        <w:rPr>
          <w:rFonts w:ascii="Garamond" w:hAnsi="Garamond"/>
          <w:sz w:val="21"/>
          <w:szCs w:val="21"/>
        </w:rPr>
        <w:t>plans.</w:t>
      </w:r>
      <w:r>
        <w:rPr>
          <w:rFonts w:ascii="Garamond" w:hAnsi="Garamond"/>
          <w:sz w:val="21"/>
          <w:szCs w:val="21"/>
        </w:rPr>
        <w:t xml:space="preserve"> (Check with the district designated personnel regarding cost.)</w:t>
      </w:r>
    </w:p>
    <w:p w:rsidR="007B02F2" w:rsidRDefault="007B02F2"/>
    <w:sectPr w:rsidR="007B02F2" w:rsidSect="00EE6E05">
      <w:pgSz w:w="15840" w:h="12240" w:orient="landscape"/>
      <w:pgMar w:top="720" w:right="835" w:bottom="720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2C" w:rsidRDefault="00F74C2C">
      <w:r>
        <w:separator/>
      </w:r>
    </w:p>
  </w:endnote>
  <w:endnote w:type="continuationSeparator" w:id="1">
    <w:p w:rsidR="00F74C2C" w:rsidRDefault="00F7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pperplate">
    <w:altName w:val="Centaur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D" w:rsidRDefault="00571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D" w:rsidRDefault="005719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D" w:rsidRDefault="0057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2C" w:rsidRDefault="00F74C2C">
      <w:r>
        <w:separator/>
      </w:r>
    </w:p>
  </w:footnote>
  <w:footnote w:type="continuationSeparator" w:id="1">
    <w:p w:rsidR="00F74C2C" w:rsidRDefault="00F74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D" w:rsidRDefault="00571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D" w:rsidRDefault="005719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D" w:rsidRDefault="00571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E01B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18AA5BF9"/>
    <w:multiLevelType w:val="hybridMultilevel"/>
    <w:tmpl w:val="61464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55284"/>
    <w:multiLevelType w:val="hybridMultilevel"/>
    <w:tmpl w:val="D72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564E0"/>
    <w:multiLevelType w:val="hybridMultilevel"/>
    <w:tmpl w:val="7C124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2">
    <w:nsid w:val="752E47A6"/>
    <w:multiLevelType w:val="hybridMultilevel"/>
    <w:tmpl w:val="FEACB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3F01"/>
  <w:defaultTabStop w:val="720"/>
  <w:drawingGridHorizontalSpacing w:val="110"/>
  <w:drawingGridVerticalSpacing w:val="187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EE6E05"/>
    <w:rsid w:val="0005667B"/>
    <w:rsid w:val="0009196C"/>
    <w:rsid w:val="000E2407"/>
    <w:rsid w:val="000F6C8B"/>
    <w:rsid w:val="001124FE"/>
    <w:rsid w:val="001E3651"/>
    <w:rsid w:val="00207409"/>
    <w:rsid w:val="00214361"/>
    <w:rsid w:val="00396172"/>
    <w:rsid w:val="003A1BC3"/>
    <w:rsid w:val="003B4009"/>
    <w:rsid w:val="00401A2B"/>
    <w:rsid w:val="00431C73"/>
    <w:rsid w:val="0043483F"/>
    <w:rsid w:val="004904CF"/>
    <w:rsid w:val="0049241E"/>
    <w:rsid w:val="005269A2"/>
    <w:rsid w:val="00533AE6"/>
    <w:rsid w:val="00555F12"/>
    <w:rsid w:val="005719DD"/>
    <w:rsid w:val="006565CD"/>
    <w:rsid w:val="006D256F"/>
    <w:rsid w:val="006D7A34"/>
    <w:rsid w:val="007B02F2"/>
    <w:rsid w:val="007B6B45"/>
    <w:rsid w:val="007D1BDB"/>
    <w:rsid w:val="007F67EA"/>
    <w:rsid w:val="008E4DBE"/>
    <w:rsid w:val="00907A5E"/>
    <w:rsid w:val="00931AA2"/>
    <w:rsid w:val="00991D13"/>
    <w:rsid w:val="00A25B68"/>
    <w:rsid w:val="00A31686"/>
    <w:rsid w:val="00AA2E7F"/>
    <w:rsid w:val="00AD0ED0"/>
    <w:rsid w:val="00B07692"/>
    <w:rsid w:val="00B118CA"/>
    <w:rsid w:val="00B225E5"/>
    <w:rsid w:val="00B26B96"/>
    <w:rsid w:val="00B32129"/>
    <w:rsid w:val="00B46059"/>
    <w:rsid w:val="00B51A6B"/>
    <w:rsid w:val="00B71610"/>
    <w:rsid w:val="00C628B2"/>
    <w:rsid w:val="00C82C19"/>
    <w:rsid w:val="00CD4E46"/>
    <w:rsid w:val="00D367CD"/>
    <w:rsid w:val="00D52A9F"/>
    <w:rsid w:val="00DD3AA9"/>
    <w:rsid w:val="00DD52AE"/>
    <w:rsid w:val="00E31A40"/>
    <w:rsid w:val="00EE6E05"/>
    <w:rsid w:val="00EE7C2E"/>
    <w:rsid w:val="00F316A8"/>
    <w:rsid w:val="00F74C2C"/>
    <w:rsid w:val="00FA32B5"/>
    <w:rsid w:val="00FB06CE"/>
    <w:rsid w:val="00FB0C58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paragraph" w:customStyle="1" w:styleId="Body">
    <w:name w:val="Body"/>
    <w:rsid w:val="00EE6E05"/>
    <w:pPr>
      <w:spacing w:after="140"/>
      <w:outlineLvl w:val="0"/>
    </w:pPr>
    <w:rPr>
      <w:rFonts w:ascii="Lucida Grande" w:eastAsia="ヒラギノ角ゴ Pro W3" w:hAnsi="Lucida Grande"/>
      <w:color w:val="3F3F3F"/>
      <w:sz w:val="18"/>
    </w:rPr>
  </w:style>
  <w:style w:type="paragraph" w:customStyle="1" w:styleId="Heading">
    <w:name w:val="Heading"/>
    <w:next w:val="Body"/>
    <w:rsid w:val="00EE6E05"/>
    <w:pPr>
      <w:keepNext/>
      <w:spacing w:after="140"/>
      <w:outlineLvl w:val="0"/>
    </w:pPr>
    <w:rPr>
      <w:rFonts w:ascii="Lucida Grande" w:eastAsia="ヒラギノ角ゴ Pro W3" w:hAnsi="Lucida Grande"/>
      <w:b/>
      <w:color w:val="567EA2"/>
      <w:sz w:val="22"/>
    </w:rPr>
  </w:style>
  <w:style w:type="paragraph" w:styleId="Title">
    <w:name w:val="Title"/>
    <w:next w:val="Body"/>
    <w:qFormat/>
    <w:rsid w:val="00EE6E05"/>
    <w:pPr>
      <w:jc w:val="center"/>
      <w:outlineLvl w:val="0"/>
    </w:pPr>
    <w:rPr>
      <w:rFonts w:ascii="Copperplate" w:eastAsia="ヒラギノ角ゴ Pro W3" w:hAnsi="Copperplate"/>
      <w:color w:val="567EA2"/>
      <w:sz w:val="56"/>
    </w:rPr>
  </w:style>
  <w:style w:type="paragraph" w:customStyle="1" w:styleId="FreeForm">
    <w:name w:val="Free Form"/>
    <w:rsid w:val="000F6C8B"/>
    <w:pPr>
      <w:spacing w:after="140"/>
      <w:outlineLvl w:val="0"/>
    </w:pPr>
    <w:rPr>
      <w:rFonts w:ascii="Lucida Grande" w:eastAsia="ヒラギノ角ゴ Pro W3" w:hAnsi="Lucida Grande"/>
      <w:color w:val="3F3F3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Brochure</vt:lpstr>
      <vt:lpstr>What is Credit Flexibility?</vt:lpstr>
      <vt:lpstr>The credit flexibility initiative is part of a statewide effort to increase lear</vt:lpstr>
      <vt:lpstr>In addition to earning credit by successfully completing traditional courses, th</vt:lpstr>
      <vt:lpstr>Earning credit by demonstrating mastery of the essential content of a traditiona</vt:lpstr>
      <vt:lpstr>Successfully completing a mentorship, internship, educational travel, or service</vt:lpstr>
      <vt:lpstr>Successfully completing an online course or academic summer or after-school prog</vt:lpstr>
      <vt:lpstr>Successfully combining any of the options above as well as units of traditional </vt:lpstr>
      <vt:lpstr>Credit flexibility is another example of how our district is working to prepare </vt:lpstr>
      <vt:lpstr>Credit Flexibility:     a Guide for Students and Families</vt:lpstr>
      <vt:lpstr>What Does It Mean?</vt:lpstr>
      <vt:lpstr>Benefits to Students</vt:lpstr>
      <vt:lpstr>Earning Credit By Demonstrating Mastery </vt:lpstr>
      <vt:lpstr>Students may earn high school credit by demonstrating mastery of essential conte</vt:lpstr>
      <vt:lpstr>Demonstrations of mastery may involve completing a comprehensive examination, su</vt:lpstr>
      <vt:lpstr>When students request the opportunity to earn credit for completing the content </vt:lpstr>
      <vt:lpstr>The district will also work with the student to schedule times for the student t</vt:lpstr>
      <vt:lpstr>Typically, the district will use portions of exams developed for a traditional c</vt:lpstr>
      <vt:lpstr>While the district will make every effort to minimize costs, students’ families </vt:lpstr>
      <vt:lpstr>Earning Credit Through “Educational Options”</vt:lpstr>
      <vt:lpstr>Students may earn high school credit by successfully completing academically-foc</vt:lpstr>
      <vt:lpstr>Internships and mentorships with businesses and community organizations,</vt:lpstr>
      <vt:lpstr>Service learning programs,</vt:lpstr>
      <vt:lpstr>Online programs,</vt:lpstr>
      <vt:lpstr>Guided “independent study” experiences, </vt:lpstr>
      <vt:lpstr>Educational travel programs. </vt:lpstr>
      <vt:lpstr>Students will propose their own “educational options plans.”  This option may be</vt:lpstr>
      <vt:lpstr>Students must obtain prior approval of student-proposed educational options plan</vt:lpstr>
      <vt:lpstr>Students’ families may be asked to contribute to the cost of educational options</vt:lpstr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/>
  <cp:keywords/>
  <dc:description/>
  <cp:lastModifiedBy/>
  <cp:revision>1</cp:revision>
  <cp:lastPrinted>2010-05-04T16:58:00Z</cp:lastPrinted>
  <dcterms:created xsi:type="dcterms:W3CDTF">2010-08-12T18:39:00Z</dcterms:created>
  <dcterms:modified xsi:type="dcterms:W3CDTF">2010-08-12T18:39:00Z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