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03E" w:rsidRPr="002A703E" w:rsidRDefault="002A703E" w:rsidP="002A703E">
      <w:pPr>
        <w:jc w:val="center"/>
        <w:rPr>
          <w:rFonts w:ascii="Calibri" w:eastAsia="Calibri" w:hAnsi="Calibri" w:cs="Calibri"/>
          <w:b/>
          <w:bCs/>
          <w:sz w:val="24"/>
          <w:szCs w:val="24"/>
        </w:rPr>
      </w:pPr>
      <w:bookmarkStart w:id="0" w:name="_GoBack"/>
      <w:bookmarkEnd w:id="0"/>
      <w:r w:rsidRPr="002A703E">
        <w:rPr>
          <w:rFonts w:ascii="Calibri" w:eastAsia="Calibri" w:hAnsi="Calibri" w:cs="Calibri"/>
          <w:b/>
          <w:bCs/>
          <w:sz w:val="24"/>
          <w:szCs w:val="24"/>
        </w:rPr>
        <w:t>COVID-19 Guidance 20-16-2</w:t>
      </w:r>
    </w:p>
    <w:p w:rsidR="002A703E" w:rsidRPr="002A703E" w:rsidRDefault="002A703E" w:rsidP="002A703E">
      <w:pPr>
        <w:jc w:val="center"/>
        <w:rPr>
          <w:rFonts w:ascii="Calibri" w:eastAsia="Calibri" w:hAnsi="Calibri" w:cs="Calibri"/>
          <w:b/>
          <w:bCs/>
          <w:sz w:val="24"/>
          <w:szCs w:val="24"/>
        </w:rPr>
      </w:pPr>
      <w:r w:rsidRPr="002A703E">
        <w:rPr>
          <w:rFonts w:ascii="Calibri" w:eastAsia="Calibri" w:hAnsi="Calibri" w:cs="Calibri"/>
          <w:b/>
          <w:bCs/>
          <w:sz w:val="24"/>
          <w:szCs w:val="24"/>
        </w:rPr>
        <w:t>April 11, 2020</w:t>
      </w:r>
    </w:p>
    <w:p w:rsidR="002A703E" w:rsidRPr="002A703E" w:rsidRDefault="002A703E" w:rsidP="002A703E">
      <w:pPr>
        <w:jc w:val="center"/>
        <w:rPr>
          <w:rFonts w:ascii="Calibri" w:eastAsia="Calibri" w:hAnsi="Calibri" w:cs="Calibri"/>
          <w:b/>
          <w:bCs/>
          <w:sz w:val="24"/>
          <w:szCs w:val="24"/>
        </w:rPr>
      </w:pPr>
    </w:p>
    <w:p w:rsidR="002A703E" w:rsidRPr="002A703E" w:rsidRDefault="002A703E" w:rsidP="002A703E">
      <w:pPr>
        <w:jc w:val="center"/>
        <w:rPr>
          <w:rFonts w:ascii="Calibri" w:eastAsia="Calibri" w:hAnsi="Calibri" w:cs="Calibri"/>
          <w:b/>
          <w:bCs/>
          <w:sz w:val="24"/>
          <w:szCs w:val="24"/>
        </w:rPr>
      </w:pPr>
      <w:r w:rsidRPr="002A703E">
        <w:rPr>
          <w:rFonts w:ascii="Calibri" w:eastAsia="Calibri" w:hAnsi="Calibri" w:cs="Calibri"/>
          <w:b/>
          <w:bCs/>
          <w:sz w:val="24"/>
          <w:szCs w:val="24"/>
        </w:rPr>
        <w:t xml:space="preserve">Clarifying that Restaurants and Bars May </w:t>
      </w:r>
      <w:r w:rsidRPr="002A703E">
        <w:rPr>
          <w:rFonts w:ascii="Calibri" w:eastAsia="Calibri" w:hAnsi="Calibri" w:cs="Calibri"/>
          <w:b/>
          <w:bCs/>
          <w:sz w:val="24"/>
          <w:szCs w:val="24"/>
          <w:u w:val="single"/>
        </w:rPr>
        <w:t>Not</w:t>
      </w:r>
      <w:r w:rsidRPr="002A703E">
        <w:rPr>
          <w:rFonts w:ascii="Calibri" w:eastAsia="Calibri" w:hAnsi="Calibri" w:cs="Calibri"/>
          <w:b/>
          <w:bCs/>
          <w:sz w:val="24"/>
          <w:szCs w:val="24"/>
        </w:rPr>
        <w:t xml:space="preserve"> Reopen for Dine-In Service</w:t>
      </w:r>
    </w:p>
    <w:p w:rsidR="002A703E" w:rsidRPr="002A703E" w:rsidRDefault="002A703E" w:rsidP="002A703E">
      <w:pPr>
        <w:rPr>
          <w:rFonts w:ascii="Calibri" w:eastAsia="Calibri" w:hAnsi="Calibri" w:cs="Calibri"/>
          <w:sz w:val="24"/>
          <w:szCs w:val="24"/>
        </w:rPr>
      </w:pPr>
    </w:p>
    <w:p w:rsidR="002A703E" w:rsidRPr="002A703E" w:rsidRDefault="002A703E" w:rsidP="002A703E">
      <w:pPr>
        <w:jc w:val="both"/>
        <w:rPr>
          <w:rFonts w:ascii="Calibri" w:eastAsia="Calibri" w:hAnsi="Calibri" w:cs="Calibri"/>
          <w:sz w:val="24"/>
          <w:szCs w:val="24"/>
        </w:rPr>
      </w:pPr>
      <w:r w:rsidRPr="002A703E">
        <w:rPr>
          <w:rFonts w:ascii="Calibri" w:eastAsia="Calibri" w:hAnsi="Calibri" w:cs="Calibri"/>
          <w:sz w:val="24"/>
          <w:szCs w:val="24"/>
        </w:rPr>
        <w:t>This guidance is offered by KDEM for the benefit of emergency managers, health officers, law enforcement, affected businesses, and individual Kansas citizens.</w:t>
      </w:r>
    </w:p>
    <w:p w:rsidR="002A703E" w:rsidRPr="002A703E" w:rsidRDefault="002A703E" w:rsidP="002A703E">
      <w:pPr>
        <w:jc w:val="both"/>
        <w:rPr>
          <w:rFonts w:ascii="Calibri" w:eastAsia="Calibri" w:hAnsi="Calibri" w:cs="Calibri"/>
          <w:sz w:val="24"/>
          <w:szCs w:val="24"/>
        </w:rPr>
      </w:pPr>
    </w:p>
    <w:p w:rsidR="002A703E" w:rsidRPr="002A703E" w:rsidRDefault="002A703E" w:rsidP="002A703E">
      <w:pPr>
        <w:jc w:val="both"/>
        <w:rPr>
          <w:rFonts w:ascii="Calibri" w:eastAsia="Calibri" w:hAnsi="Calibri" w:cs="Calibri"/>
          <w:sz w:val="24"/>
          <w:szCs w:val="24"/>
        </w:rPr>
      </w:pPr>
      <w:r w:rsidRPr="002A703E">
        <w:rPr>
          <w:rFonts w:ascii="Calibri" w:eastAsia="Calibri" w:hAnsi="Calibri" w:cs="Calibri"/>
          <w:sz w:val="24"/>
          <w:szCs w:val="24"/>
        </w:rPr>
        <w:t>Executive Order 20-16, “Establishing a statewide ‘stay-home’ order in conjunction with the Kansas Essential Function Framework for COVID-19 response efforts,” directs Kansans stay in their homes to slow the spread of COVID-19 and allows Kansans to leave their homes only to perform an “essential activity.” Executive Order 20-18, “Temporarily prohibiting mass gatherings of more than 10 people to limit the spread of COVID-19 and rescinding Executive Order 20-14,” addresses when and under what circumstances restaurants or bars may exceed the mass gathering limit of no more than 10 people in an enclosed or confined space. This guidance clarifies that dine-in service at restaurants and bars is not an essential function or essential activity and therefore remains prohibited notwithstanding any language in Executive Order 20-18.</w:t>
      </w:r>
    </w:p>
    <w:p w:rsidR="002A703E" w:rsidRPr="002A703E" w:rsidRDefault="002A703E" w:rsidP="002A703E">
      <w:pPr>
        <w:jc w:val="both"/>
        <w:rPr>
          <w:rFonts w:ascii="Calibri" w:eastAsia="Calibri" w:hAnsi="Calibri" w:cs="Calibri"/>
          <w:sz w:val="24"/>
          <w:szCs w:val="24"/>
        </w:rPr>
      </w:pPr>
    </w:p>
    <w:p w:rsidR="002A703E" w:rsidRPr="002A703E" w:rsidRDefault="002A703E" w:rsidP="002A703E">
      <w:pPr>
        <w:jc w:val="both"/>
        <w:rPr>
          <w:rFonts w:ascii="Calibri" w:eastAsia="Calibri" w:hAnsi="Calibri" w:cs="Calibri"/>
          <w:b/>
          <w:bCs/>
          <w:sz w:val="24"/>
          <w:szCs w:val="24"/>
          <w:u w:val="single"/>
        </w:rPr>
      </w:pPr>
      <w:r w:rsidRPr="002A703E">
        <w:rPr>
          <w:rFonts w:ascii="Calibri" w:eastAsia="Calibri" w:hAnsi="Calibri" w:cs="Calibri"/>
          <w:sz w:val="24"/>
          <w:szCs w:val="24"/>
        </w:rPr>
        <w:tab/>
      </w:r>
      <w:r w:rsidRPr="002A703E">
        <w:rPr>
          <w:rFonts w:ascii="Calibri" w:eastAsia="Calibri" w:hAnsi="Calibri" w:cs="Calibri"/>
          <w:b/>
          <w:bCs/>
          <w:sz w:val="24"/>
          <w:szCs w:val="24"/>
          <w:u w:val="single"/>
        </w:rPr>
        <w:t>Analysis</w:t>
      </w:r>
    </w:p>
    <w:p w:rsidR="002A703E" w:rsidRPr="002A703E" w:rsidRDefault="002A703E" w:rsidP="002A703E">
      <w:pPr>
        <w:jc w:val="both"/>
        <w:rPr>
          <w:rFonts w:ascii="Calibri" w:eastAsia="Calibri" w:hAnsi="Calibri" w:cs="Calibri"/>
          <w:sz w:val="24"/>
          <w:szCs w:val="24"/>
        </w:rPr>
      </w:pPr>
    </w:p>
    <w:p w:rsidR="002A703E" w:rsidRPr="002A703E" w:rsidRDefault="002A703E" w:rsidP="002A703E">
      <w:pPr>
        <w:jc w:val="both"/>
        <w:rPr>
          <w:rFonts w:ascii="Calibri" w:hAnsi="Calibri" w:cs="Calibri"/>
          <w:sz w:val="24"/>
          <w:szCs w:val="24"/>
        </w:rPr>
      </w:pPr>
      <w:r w:rsidRPr="002A703E">
        <w:rPr>
          <w:rFonts w:ascii="Calibri" w:hAnsi="Calibri" w:cs="Calibri"/>
          <w:sz w:val="24"/>
          <w:szCs w:val="24"/>
        </w:rPr>
        <w:t xml:space="preserve">Executive Order </w:t>
      </w:r>
      <w:r w:rsidRPr="002A703E">
        <w:rPr>
          <w:rFonts w:ascii="Calibri" w:hAnsi="Calibri" w:cs="Calibri"/>
          <w:sz w:val="24"/>
          <w:szCs w:val="24"/>
          <w:bdr w:val="none" w:sz="0" w:space="0" w:color="auto" w:frame="1"/>
        </w:rPr>
        <w:t>20-16</w:t>
      </w:r>
      <w:r w:rsidRPr="002A703E">
        <w:rPr>
          <w:rFonts w:ascii="Calibri" w:hAnsi="Calibri" w:cs="Calibri"/>
          <w:sz w:val="24"/>
          <w:szCs w:val="24"/>
        </w:rPr>
        <w:t xml:space="preserve"> only allows people to leave their homes to do an essential activity or to perform an essential function. “Prepare or serve meals for takeout or delivery” is an essential function under KEFF 400.6.b. There is no provision in EO </w:t>
      </w:r>
      <w:r w:rsidRPr="002A703E">
        <w:rPr>
          <w:rFonts w:ascii="Calibri" w:hAnsi="Calibri" w:cs="Calibri"/>
          <w:sz w:val="24"/>
          <w:szCs w:val="24"/>
          <w:bdr w:val="none" w:sz="0" w:space="0" w:color="auto" w:frame="1"/>
        </w:rPr>
        <w:t>20-16</w:t>
      </w:r>
      <w:r w:rsidRPr="002A703E">
        <w:rPr>
          <w:rFonts w:ascii="Calibri" w:hAnsi="Calibri" w:cs="Calibri"/>
          <w:sz w:val="24"/>
          <w:szCs w:val="24"/>
        </w:rPr>
        <w:t xml:space="preserve"> that would allow people to leave their homes to consume food or drink at a </w:t>
      </w:r>
      <w:r w:rsidRPr="002A703E">
        <w:rPr>
          <w:rFonts w:ascii="Calibri" w:hAnsi="Calibri" w:cs="Calibri"/>
          <w:sz w:val="24"/>
          <w:szCs w:val="24"/>
          <w:bdr w:val="none" w:sz="0" w:space="0" w:color="auto" w:frame="1"/>
        </w:rPr>
        <w:t>restaurant</w:t>
      </w:r>
      <w:r w:rsidRPr="002A703E">
        <w:rPr>
          <w:rFonts w:ascii="Calibri" w:hAnsi="Calibri" w:cs="Calibri"/>
          <w:sz w:val="24"/>
          <w:szCs w:val="24"/>
        </w:rPr>
        <w:t xml:space="preserve"> or </w:t>
      </w:r>
      <w:r w:rsidRPr="002A703E">
        <w:rPr>
          <w:rFonts w:ascii="Calibri" w:hAnsi="Calibri" w:cs="Calibri"/>
          <w:sz w:val="24"/>
          <w:szCs w:val="24"/>
          <w:bdr w:val="none" w:sz="0" w:space="0" w:color="auto" w:frame="1"/>
        </w:rPr>
        <w:t>bar</w:t>
      </w:r>
      <w:r w:rsidRPr="002A703E">
        <w:rPr>
          <w:rFonts w:ascii="Calibri" w:hAnsi="Calibri" w:cs="Calibri"/>
          <w:sz w:val="24"/>
          <w:szCs w:val="24"/>
        </w:rPr>
        <w:t xml:space="preserve"> or to allow people to leave their homes to operate dine-in service at a </w:t>
      </w:r>
      <w:r w:rsidRPr="002A703E">
        <w:rPr>
          <w:rFonts w:ascii="Calibri" w:hAnsi="Calibri" w:cs="Calibri"/>
          <w:sz w:val="24"/>
          <w:szCs w:val="24"/>
          <w:bdr w:val="none" w:sz="0" w:space="0" w:color="auto" w:frame="1"/>
        </w:rPr>
        <w:t>restaurant</w:t>
      </w:r>
      <w:r w:rsidRPr="002A703E">
        <w:rPr>
          <w:rFonts w:ascii="Calibri" w:hAnsi="Calibri" w:cs="Calibri"/>
          <w:sz w:val="24"/>
          <w:szCs w:val="24"/>
        </w:rPr>
        <w:t xml:space="preserve"> or </w:t>
      </w:r>
      <w:r w:rsidRPr="002A703E">
        <w:rPr>
          <w:rFonts w:ascii="Calibri" w:hAnsi="Calibri" w:cs="Calibri"/>
          <w:sz w:val="24"/>
          <w:szCs w:val="24"/>
          <w:bdr w:val="none" w:sz="0" w:space="0" w:color="auto" w:frame="1"/>
        </w:rPr>
        <w:t>bar</w:t>
      </w:r>
      <w:r w:rsidRPr="002A703E">
        <w:rPr>
          <w:rFonts w:ascii="Calibri" w:hAnsi="Calibri" w:cs="Calibri"/>
          <w:sz w:val="24"/>
          <w:szCs w:val="24"/>
        </w:rPr>
        <w:t>.</w:t>
      </w:r>
    </w:p>
    <w:p w:rsidR="002A703E" w:rsidRPr="002A703E" w:rsidRDefault="002A703E" w:rsidP="002A703E">
      <w:pPr>
        <w:jc w:val="both"/>
        <w:rPr>
          <w:rFonts w:ascii="Calibri" w:hAnsi="Calibri" w:cs="Calibri"/>
          <w:sz w:val="24"/>
          <w:szCs w:val="24"/>
        </w:rPr>
      </w:pPr>
      <w:r w:rsidRPr="002A703E">
        <w:rPr>
          <w:rFonts w:ascii="Calibri" w:hAnsi="Calibri" w:cs="Calibri"/>
          <w:sz w:val="24"/>
          <w:szCs w:val="24"/>
        </w:rPr>
        <w:t> </w:t>
      </w:r>
    </w:p>
    <w:p w:rsidR="002A703E" w:rsidRPr="002A703E" w:rsidRDefault="002A703E" w:rsidP="002A703E">
      <w:pPr>
        <w:jc w:val="both"/>
        <w:rPr>
          <w:rFonts w:ascii="Calibri" w:hAnsi="Calibri" w:cs="Calibri"/>
          <w:sz w:val="24"/>
          <w:szCs w:val="24"/>
        </w:rPr>
      </w:pPr>
      <w:r w:rsidRPr="002A703E">
        <w:rPr>
          <w:rFonts w:ascii="Calibri" w:hAnsi="Calibri" w:cs="Calibri"/>
          <w:sz w:val="24"/>
          <w:szCs w:val="24"/>
        </w:rPr>
        <w:t xml:space="preserve">Executive Order </w:t>
      </w:r>
      <w:r w:rsidRPr="002A703E">
        <w:rPr>
          <w:rFonts w:ascii="Calibri" w:hAnsi="Calibri" w:cs="Calibri"/>
          <w:sz w:val="24"/>
          <w:szCs w:val="24"/>
          <w:bdr w:val="none" w:sz="0" w:space="0" w:color="auto" w:frame="1"/>
        </w:rPr>
        <w:t>20-18</w:t>
      </w:r>
      <w:r w:rsidRPr="002A703E">
        <w:rPr>
          <w:rFonts w:ascii="Calibri" w:hAnsi="Calibri" w:cs="Calibri"/>
          <w:sz w:val="24"/>
          <w:szCs w:val="24"/>
        </w:rPr>
        <w:t xml:space="preserve"> does not displace those provisions of Executive Order </w:t>
      </w:r>
      <w:r w:rsidRPr="002A703E">
        <w:rPr>
          <w:rFonts w:ascii="Calibri" w:hAnsi="Calibri" w:cs="Calibri"/>
          <w:sz w:val="24"/>
          <w:szCs w:val="24"/>
          <w:bdr w:val="none" w:sz="0" w:space="0" w:color="auto" w:frame="1"/>
        </w:rPr>
        <w:t>20-16</w:t>
      </w:r>
      <w:r w:rsidRPr="002A703E">
        <w:rPr>
          <w:rFonts w:ascii="Calibri" w:hAnsi="Calibri" w:cs="Calibri"/>
          <w:sz w:val="24"/>
          <w:szCs w:val="24"/>
        </w:rPr>
        <w:t xml:space="preserve">. While EO </w:t>
      </w:r>
      <w:r w:rsidRPr="002A703E">
        <w:rPr>
          <w:rFonts w:ascii="Calibri" w:hAnsi="Calibri" w:cs="Calibri"/>
          <w:sz w:val="24"/>
          <w:szCs w:val="24"/>
          <w:bdr w:val="none" w:sz="0" w:space="0" w:color="auto" w:frame="1"/>
        </w:rPr>
        <w:t>20-18</w:t>
      </w:r>
      <w:r w:rsidRPr="002A703E">
        <w:rPr>
          <w:rFonts w:ascii="Calibri" w:hAnsi="Calibri" w:cs="Calibri"/>
          <w:sz w:val="24"/>
          <w:szCs w:val="24"/>
        </w:rPr>
        <w:t xml:space="preserve"> notes in Paragraph 2.s that </w:t>
      </w:r>
      <w:r w:rsidRPr="002A703E">
        <w:rPr>
          <w:rFonts w:ascii="Calibri" w:hAnsi="Calibri" w:cs="Calibri"/>
          <w:sz w:val="24"/>
          <w:szCs w:val="24"/>
          <w:bdr w:val="none" w:sz="0" w:space="0" w:color="auto" w:frame="1"/>
        </w:rPr>
        <w:t>restaurant</w:t>
      </w:r>
      <w:r w:rsidRPr="002A703E">
        <w:rPr>
          <w:rFonts w:ascii="Calibri" w:hAnsi="Calibri" w:cs="Calibri"/>
          <w:sz w:val="24"/>
          <w:szCs w:val="24"/>
        </w:rPr>
        <w:t xml:space="preserve">s and </w:t>
      </w:r>
      <w:r w:rsidRPr="002A703E">
        <w:rPr>
          <w:rFonts w:ascii="Calibri" w:hAnsi="Calibri" w:cs="Calibri"/>
          <w:sz w:val="24"/>
          <w:szCs w:val="24"/>
          <w:bdr w:val="none" w:sz="0" w:space="0" w:color="auto" w:frame="1"/>
        </w:rPr>
        <w:t>bar</w:t>
      </w:r>
      <w:r w:rsidRPr="002A703E">
        <w:rPr>
          <w:rFonts w:ascii="Calibri" w:hAnsi="Calibri" w:cs="Calibri"/>
          <w:sz w:val="24"/>
          <w:szCs w:val="24"/>
        </w:rPr>
        <w:t xml:space="preserve">s are excluded from the mass gathering prohibitions of EO </w:t>
      </w:r>
      <w:r w:rsidRPr="002A703E">
        <w:rPr>
          <w:rFonts w:ascii="Calibri" w:hAnsi="Calibri" w:cs="Calibri"/>
          <w:sz w:val="24"/>
          <w:szCs w:val="24"/>
          <w:bdr w:val="none" w:sz="0" w:space="0" w:color="auto" w:frame="1"/>
        </w:rPr>
        <w:t>20-18</w:t>
      </w:r>
      <w:r w:rsidRPr="002A703E">
        <w:rPr>
          <w:rFonts w:ascii="Calibri" w:hAnsi="Calibri" w:cs="Calibri"/>
          <w:sz w:val="24"/>
          <w:szCs w:val="24"/>
        </w:rPr>
        <w:t xml:space="preserve">, that simply means that more than 10 people can be in a </w:t>
      </w:r>
      <w:r w:rsidRPr="002A703E">
        <w:rPr>
          <w:rFonts w:ascii="Calibri" w:hAnsi="Calibri" w:cs="Calibri"/>
          <w:sz w:val="24"/>
          <w:szCs w:val="24"/>
          <w:bdr w:val="none" w:sz="0" w:space="0" w:color="auto" w:frame="1"/>
        </w:rPr>
        <w:t>restaurant</w:t>
      </w:r>
      <w:r w:rsidRPr="002A703E">
        <w:rPr>
          <w:rFonts w:ascii="Calibri" w:hAnsi="Calibri" w:cs="Calibri"/>
          <w:sz w:val="24"/>
          <w:szCs w:val="24"/>
        </w:rPr>
        <w:t xml:space="preserve"> at the same time (as long as they are properly socially distanced and other health directives are followed) – it does not allow them to be in that </w:t>
      </w:r>
      <w:r w:rsidRPr="002A703E">
        <w:rPr>
          <w:rFonts w:ascii="Calibri" w:hAnsi="Calibri" w:cs="Calibri"/>
          <w:sz w:val="24"/>
          <w:szCs w:val="24"/>
          <w:bdr w:val="none" w:sz="0" w:space="0" w:color="auto" w:frame="1"/>
        </w:rPr>
        <w:t>restaurant</w:t>
      </w:r>
      <w:r w:rsidRPr="002A703E">
        <w:rPr>
          <w:rFonts w:ascii="Calibri" w:hAnsi="Calibri" w:cs="Calibri"/>
          <w:sz w:val="24"/>
          <w:szCs w:val="24"/>
        </w:rPr>
        <w:t xml:space="preserve"> for purposes of dining in.</w:t>
      </w:r>
      <w:r w:rsidRPr="002A703E">
        <w:rPr>
          <w:rFonts w:ascii="Calibri" w:hAnsi="Calibri" w:cs="Calibri"/>
          <w:sz w:val="24"/>
          <w:szCs w:val="24"/>
          <w:vertAlign w:val="superscript"/>
        </w:rPr>
        <w:footnoteReference w:id="1"/>
      </w:r>
      <w:r w:rsidRPr="002A703E">
        <w:rPr>
          <w:rFonts w:ascii="Calibri" w:hAnsi="Calibri" w:cs="Calibri"/>
          <w:sz w:val="24"/>
          <w:szCs w:val="24"/>
        </w:rPr>
        <w:t xml:space="preserve"> </w:t>
      </w:r>
    </w:p>
    <w:p w:rsidR="002A703E" w:rsidRPr="002A703E" w:rsidRDefault="002A703E" w:rsidP="002A703E">
      <w:pPr>
        <w:jc w:val="both"/>
        <w:rPr>
          <w:rFonts w:ascii="Calibri" w:hAnsi="Calibri" w:cs="Calibri"/>
          <w:sz w:val="24"/>
          <w:szCs w:val="24"/>
        </w:rPr>
      </w:pPr>
    </w:p>
    <w:p w:rsidR="002A703E" w:rsidRPr="002A703E" w:rsidRDefault="002A703E" w:rsidP="002A703E">
      <w:pPr>
        <w:jc w:val="both"/>
        <w:rPr>
          <w:rFonts w:ascii="Calibri" w:hAnsi="Calibri" w:cs="Calibri"/>
          <w:sz w:val="24"/>
          <w:szCs w:val="24"/>
        </w:rPr>
      </w:pPr>
      <w:r w:rsidRPr="002A703E">
        <w:rPr>
          <w:rFonts w:ascii="Calibri" w:hAnsi="Calibri" w:cs="Calibri"/>
          <w:sz w:val="24"/>
          <w:szCs w:val="24"/>
          <w:u w:val="single"/>
        </w:rPr>
        <w:t>Example:</w:t>
      </w:r>
      <w:r w:rsidRPr="002A703E">
        <w:rPr>
          <w:rFonts w:ascii="Calibri" w:hAnsi="Calibri" w:cs="Calibri"/>
          <w:sz w:val="24"/>
          <w:szCs w:val="24"/>
        </w:rPr>
        <w:t xml:space="preserve"> If there are 5 people working at the </w:t>
      </w:r>
      <w:r w:rsidRPr="002A703E">
        <w:rPr>
          <w:rFonts w:ascii="Calibri" w:hAnsi="Calibri" w:cs="Calibri"/>
          <w:sz w:val="24"/>
          <w:szCs w:val="24"/>
          <w:bdr w:val="none" w:sz="0" w:space="0" w:color="auto" w:frame="1"/>
        </w:rPr>
        <w:t>restaurant</w:t>
      </w:r>
      <w:r w:rsidRPr="002A703E">
        <w:rPr>
          <w:rFonts w:ascii="Calibri" w:hAnsi="Calibri" w:cs="Calibri"/>
          <w:sz w:val="24"/>
          <w:szCs w:val="24"/>
        </w:rPr>
        <w:t xml:space="preserve"> and 6 people in a properly socially distanced line waiting to pick up carryout orders, that is permissible. </w:t>
      </w:r>
    </w:p>
    <w:p w:rsidR="002A703E" w:rsidRPr="002A703E" w:rsidRDefault="002A703E" w:rsidP="002A703E">
      <w:pPr>
        <w:jc w:val="both"/>
        <w:rPr>
          <w:rFonts w:ascii="Calibri" w:hAnsi="Calibri" w:cs="Calibri"/>
          <w:sz w:val="24"/>
          <w:szCs w:val="24"/>
        </w:rPr>
      </w:pPr>
      <w:r w:rsidRPr="002A703E">
        <w:rPr>
          <w:rFonts w:ascii="Calibri" w:hAnsi="Calibri" w:cs="Calibri"/>
          <w:sz w:val="24"/>
          <w:szCs w:val="24"/>
        </w:rPr>
        <w:t> </w:t>
      </w:r>
    </w:p>
    <w:p w:rsidR="002A703E" w:rsidRPr="002A703E" w:rsidRDefault="002A703E" w:rsidP="002A703E">
      <w:pPr>
        <w:jc w:val="both"/>
        <w:rPr>
          <w:rFonts w:ascii="Calibri" w:hAnsi="Calibri" w:cs="Calibri"/>
          <w:sz w:val="24"/>
          <w:szCs w:val="24"/>
        </w:rPr>
      </w:pPr>
      <w:r w:rsidRPr="002A703E">
        <w:rPr>
          <w:rFonts w:ascii="Calibri" w:hAnsi="Calibri" w:cs="Calibri"/>
          <w:sz w:val="24"/>
          <w:szCs w:val="24"/>
        </w:rPr>
        <w:t xml:space="preserve">Paragraph 4 of EO </w:t>
      </w:r>
      <w:r w:rsidRPr="002A703E">
        <w:rPr>
          <w:rFonts w:ascii="Calibri" w:hAnsi="Calibri" w:cs="Calibri"/>
          <w:sz w:val="24"/>
          <w:szCs w:val="24"/>
          <w:bdr w:val="none" w:sz="0" w:space="0" w:color="auto" w:frame="1"/>
        </w:rPr>
        <w:t>20-18</w:t>
      </w:r>
      <w:r w:rsidRPr="002A703E">
        <w:rPr>
          <w:rFonts w:ascii="Calibri" w:hAnsi="Calibri" w:cs="Calibri"/>
          <w:sz w:val="24"/>
          <w:szCs w:val="24"/>
        </w:rPr>
        <w:t xml:space="preserve"> also makes clear that the provisions of EO </w:t>
      </w:r>
      <w:r w:rsidRPr="002A703E">
        <w:rPr>
          <w:rFonts w:ascii="Calibri" w:hAnsi="Calibri" w:cs="Calibri"/>
          <w:sz w:val="24"/>
          <w:szCs w:val="24"/>
          <w:bdr w:val="none" w:sz="0" w:space="0" w:color="auto" w:frame="1"/>
        </w:rPr>
        <w:t>20-18</w:t>
      </w:r>
      <w:r w:rsidRPr="002A703E">
        <w:rPr>
          <w:rFonts w:ascii="Calibri" w:hAnsi="Calibri" w:cs="Calibri"/>
          <w:sz w:val="24"/>
          <w:szCs w:val="24"/>
        </w:rPr>
        <w:t xml:space="preserve"> are to be read “in conjunction with previous executive orders responding to the COVID-19 pandemic.” And the only mention of superseding provisions in a previous EO is the sentence stating that “[a]</w:t>
      </w:r>
      <w:proofErr w:type="spellStart"/>
      <w:r w:rsidRPr="002A703E">
        <w:rPr>
          <w:rFonts w:ascii="Calibri" w:hAnsi="Calibri" w:cs="Calibri"/>
          <w:sz w:val="24"/>
          <w:szCs w:val="24"/>
        </w:rPr>
        <w:t>ny</w:t>
      </w:r>
      <w:proofErr w:type="spellEnd"/>
      <w:r w:rsidRPr="002A703E">
        <w:rPr>
          <w:rFonts w:ascii="Calibri" w:hAnsi="Calibri" w:cs="Calibri"/>
          <w:sz w:val="24"/>
          <w:szCs w:val="24"/>
        </w:rPr>
        <w:t xml:space="preserve"> less restrictive provision in previous executive orders is superseded by this order.” The limitations on leaving one’s home in EO </w:t>
      </w:r>
      <w:r w:rsidRPr="002A703E">
        <w:rPr>
          <w:rFonts w:ascii="Calibri" w:hAnsi="Calibri" w:cs="Calibri"/>
          <w:sz w:val="24"/>
          <w:szCs w:val="24"/>
          <w:bdr w:val="none" w:sz="0" w:space="0" w:color="auto" w:frame="1"/>
        </w:rPr>
        <w:t>20-16</w:t>
      </w:r>
      <w:r w:rsidRPr="002A703E">
        <w:rPr>
          <w:rFonts w:ascii="Calibri" w:hAnsi="Calibri" w:cs="Calibri"/>
          <w:sz w:val="24"/>
          <w:szCs w:val="24"/>
        </w:rPr>
        <w:t xml:space="preserve"> for obtaining food or working at </w:t>
      </w:r>
      <w:r w:rsidRPr="002A703E">
        <w:rPr>
          <w:rFonts w:ascii="Calibri" w:hAnsi="Calibri" w:cs="Calibri"/>
          <w:sz w:val="24"/>
          <w:szCs w:val="24"/>
          <w:bdr w:val="none" w:sz="0" w:space="0" w:color="auto" w:frame="1"/>
        </w:rPr>
        <w:t>restaurant</w:t>
      </w:r>
      <w:r w:rsidRPr="002A703E">
        <w:rPr>
          <w:rFonts w:ascii="Calibri" w:hAnsi="Calibri" w:cs="Calibri"/>
          <w:sz w:val="24"/>
          <w:szCs w:val="24"/>
        </w:rPr>
        <w:t xml:space="preserve">s or </w:t>
      </w:r>
      <w:r w:rsidRPr="002A703E">
        <w:rPr>
          <w:rFonts w:ascii="Calibri" w:hAnsi="Calibri" w:cs="Calibri"/>
          <w:sz w:val="24"/>
          <w:szCs w:val="24"/>
          <w:bdr w:val="none" w:sz="0" w:space="0" w:color="auto" w:frame="1"/>
        </w:rPr>
        <w:t>bar</w:t>
      </w:r>
      <w:r w:rsidRPr="002A703E">
        <w:rPr>
          <w:rFonts w:ascii="Calibri" w:hAnsi="Calibri" w:cs="Calibri"/>
          <w:sz w:val="24"/>
          <w:szCs w:val="24"/>
        </w:rPr>
        <w:t xml:space="preserve">s are specific and more restrictive provisions that are not superseded by EO </w:t>
      </w:r>
      <w:r w:rsidRPr="002A703E">
        <w:rPr>
          <w:rFonts w:ascii="Calibri" w:hAnsi="Calibri" w:cs="Calibri"/>
          <w:sz w:val="24"/>
          <w:szCs w:val="24"/>
          <w:bdr w:val="none" w:sz="0" w:space="0" w:color="auto" w:frame="1"/>
        </w:rPr>
        <w:t>20-18</w:t>
      </w:r>
      <w:r w:rsidRPr="002A703E">
        <w:rPr>
          <w:rFonts w:ascii="Calibri" w:hAnsi="Calibri" w:cs="Calibri"/>
          <w:sz w:val="24"/>
          <w:szCs w:val="24"/>
        </w:rPr>
        <w:t>.</w:t>
      </w:r>
    </w:p>
    <w:p w:rsidR="002A703E" w:rsidRPr="002A703E" w:rsidRDefault="002A703E" w:rsidP="002A703E">
      <w:pPr>
        <w:jc w:val="both"/>
        <w:rPr>
          <w:rFonts w:ascii="Calibri" w:hAnsi="Calibri" w:cs="Calibri"/>
          <w:sz w:val="24"/>
          <w:szCs w:val="24"/>
        </w:rPr>
      </w:pPr>
      <w:r w:rsidRPr="002A703E">
        <w:rPr>
          <w:rFonts w:ascii="Calibri" w:hAnsi="Calibri" w:cs="Calibri"/>
          <w:sz w:val="24"/>
          <w:szCs w:val="24"/>
        </w:rPr>
        <w:lastRenderedPageBreak/>
        <w:t> </w:t>
      </w:r>
    </w:p>
    <w:p w:rsidR="002A703E" w:rsidRPr="002A703E" w:rsidRDefault="002A703E" w:rsidP="002A703E">
      <w:pPr>
        <w:jc w:val="both"/>
        <w:rPr>
          <w:rFonts w:ascii="Calibri" w:hAnsi="Calibri" w:cs="Calibri"/>
          <w:sz w:val="24"/>
          <w:szCs w:val="24"/>
        </w:rPr>
      </w:pPr>
      <w:r w:rsidRPr="002A703E">
        <w:rPr>
          <w:rFonts w:ascii="Calibri" w:hAnsi="Calibri" w:cs="Calibri"/>
          <w:sz w:val="24"/>
          <w:szCs w:val="24"/>
          <w:bdr w:val="none" w:sz="0" w:space="0" w:color="auto" w:frame="1"/>
        </w:rPr>
        <w:t>Restaurant</w:t>
      </w:r>
      <w:r w:rsidRPr="002A703E">
        <w:rPr>
          <w:rFonts w:ascii="Calibri" w:hAnsi="Calibri" w:cs="Calibri"/>
          <w:sz w:val="24"/>
          <w:szCs w:val="24"/>
        </w:rPr>
        <w:t xml:space="preserve">s and </w:t>
      </w:r>
      <w:r w:rsidRPr="002A703E">
        <w:rPr>
          <w:rFonts w:ascii="Calibri" w:hAnsi="Calibri" w:cs="Calibri"/>
          <w:sz w:val="24"/>
          <w:szCs w:val="24"/>
          <w:bdr w:val="none" w:sz="0" w:space="0" w:color="auto" w:frame="1"/>
        </w:rPr>
        <w:t>bar</w:t>
      </w:r>
      <w:r w:rsidRPr="002A703E">
        <w:rPr>
          <w:rFonts w:ascii="Calibri" w:hAnsi="Calibri" w:cs="Calibri"/>
          <w:sz w:val="24"/>
          <w:szCs w:val="24"/>
        </w:rPr>
        <w:t xml:space="preserve">s may not reopen for dine-in service. </w:t>
      </w:r>
    </w:p>
    <w:p w:rsidR="002A703E" w:rsidRPr="002A703E" w:rsidRDefault="002A703E" w:rsidP="002A703E">
      <w:pPr>
        <w:jc w:val="both"/>
        <w:rPr>
          <w:rFonts w:ascii="Calibri" w:hAnsi="Calibri" w:cs="Calibri"/>
          <w:sz w:val="24"/>
          <w:szCs w:val="24"/>
        </w:rPr>
      </w:pPr>
    </w:p>
    <w:p w:rsidR="002A703E" w:rsidRPr="002A703E" w:rsidRDefault="002A703E" w:rsidP="002A703E">
      <w:pPr>
        <w:jc w:val="both"/>
        <w:rPr>
          <w:rFonts w:ascii="Calibri" w:hAnsi="Calibri" w:cs="Calibri"/>
          <w:sz w:val="24"/>
          <w:szCs w:val="24"/>
        </w:rPr>
      </w:pPr>
      <w:r w:rsidRPr="002A703E">
        <w:rPr>
          <w:rFonts w:ascii="Calibri" w:hAnsi="Calibri" w:cs="Calibri"/>
          <w:b/>
          <w:bCs/>
          <w:sz w:val="24"/>
          <w:szCs w:val="24"/>
        </w:rPr>
        <w:t xml:space="preserve">DATED: </w:t>
      </w:r>
      <w:r w:rsidRPr="002A703E">
        <w:rPr>
          <w:rFonts w:ascii="Calibri" w:hAnsi="Calibri" w:cs="Calibri"/>
          <w:sz w:val="24"/>
          <w:szCs w:val="24"/>
        </w:rPr>
        <w:t>April 11, 2020</w:t>
      </w:r>
    </w:p>
    <w:p w:rsidR="00CC22DB" w:rsidRPr="002A703E" w:rsidRDefault="00CC22DB" w:rsidP="002A703E"/>
    <w:sectPr w:rsidR="00CC22DB" w:rsidRPr="002A703E" w:rsidSect="00D85348">
      <w:footerReference w:type="default" r:id="rId8"/>
      <w:headerReference w:type="first" r:id="rId9"/>
      <w:pgSz w:w="12240" w:h="15840" w:code="1"/>
      <w:pgMar w:top="720" w:right="720" w:bottom="720" w:left="72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9AD" w:rsidRDefault="007939AD" w:rsidP="00A23E88">
      <w:r>
        <w:separator/>
      </w:r>
    </w:p>
  </w:endnote>
  <w:endnote w:type="continuationSeparator" w:id="0">
    <w:p w:rsidR="007939AD" w:rsidRDefault="007939AD" w:rsidP="00A23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03E" w:rsidRDefault="002A703E" w:rsidP="002A703E">
    <w:pPr>
      <w:pStyle w:val="Footer"/>
      <w:tabs>
        <w:tab w:val="clear" w:pos="4680"/>
        <w:tab w:val="clear" w:pos="9360"/>
        <w:tab w:val="left" w:pos="6158"/>
      </w:tabs>
    </w:pPr>
    <w:r>
      <w:t>KDEM Guidance 20-16-2</w:t>
    </w:r>
    <w:r>
      <w:tab/>
    </w:r>
    <w:r>
      <w:tab/>
    </w:r>
    <w:r>
      <w:tab/>
    </w:r>
    <w:r>
      <w:tab/>
      <w:t>April 11, 2020</w:t>
    </w:r>
  </w:p>
  <w:p w:rsidR="004605AB" w:rsidRDefault="00460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9AD" w:rsidRDefault="007939AD" w:rsidP="00A23E88">
      <w:r>
        <w:separator/>
      </w:r>
    </w:p>
  </w:footnote>
  <w:footnote w:type="continuationSeparator" w:id="0">
    <w:p w:rsidR="007939AD" w:rsidRDefault="007939AD" w:rsidP="00A23E88">
      <w:r>
        <w:continuationSeparator/>
      </w:r>
    </w:p>
  </w:footnote>
  <w:footnote w:id="1">
    <w:p w:rsidR="002A703E" w:rsidRDefault="002A703E" w:rsidP="002A703E">
      <w:pPr>
        <w:pStyle w:val="FootnoteText"/>
      </w:pPr>
      <w:r>
        <w:rPr>
          <w:rStyle w:val="FootnoteReference"/>
        </w:rPr>
        <w:footnoteRef/>
      </w:r>
      <w:r>
        <w:t xml:space="preserve"> </w:t>
      </w:r>
      <w:r w:rsidRPr="002A703E">
        <w:rPr>
          <w:rFonts w:cs="Calibri"/>
          <w:color w:val="201F1E"/>
          <w:sz w:val="24"/>
          <w:szCs w:val="24"/>
        </w:rPr>
        <w:t xml:space="preserve">Additionally, this provision was left in EO </w:t>
      </w:r>
      <w:r w:rsidRPr="002A703E">
        <w:rPr>
          <w:rStyle w:val="mark1ez2mwue3"/>
          <w:rFonts w:cs="Calibri"/>
          <w:color w:val="201F1E"/>
          <w:sz w:val="24"/>
          <w:szCs w:val="24"/>
          <w:bdr w:val="none" w:sz="0" w:space="0" w:color="auto" w:frame="1"/>
        </w:rPr>
        <w:t>20-18</w:t>
      </w:r>
      <w:r w:rsidRPr="002A703E">
        <w:rPr>
          <w:rFonts w:cs="Calibri"/>
          <w:color w:val="201F1E"/>
          <w:sz w:val="24"/>
          <w:szCs w:val="24"/>
        </w:rPr>
        <w:t xml:space="preserve"> just as it was in EO 20-14 (the previous mass gathering order) in order to avoid confusion and to retain this provision if </w:t>
      </w:r>
      <w:r w:rsidRPr="002A703E">
        <w:rPr>
          <w:rFonts w:cs="Calibri"/>
          <w:color w:val="201F1E"/>
        </w:rPr>
        <w:t xml:space="preserve">appropriate </w:t>
      </w:r>
      <w:r w:rsidRPr="002A703E">
        <w:rPr>
          <w:rFonts w:cs="Calibri"/>
          <w:color w:val="201F1E"/>
          <w:sz w:val="24"/>
          <w:szCs w:val="24"/>
        </w:rPr>
        <w:t xml:space="preserve">after EO </w:t>
      </w:r>
      <w:r w:rsidRPr="002A703E">
        <w:rPr>
          <w:rStyle w:val="marknmovp4gg7"/>
          <w:rFonts w:cs="Calibri"/>
          <w:color w:val="201F1E"/>
          <w:sz w:val="24"/>
          <w:szCs w:val="24"/>
          <w:bdr w:val="none" w:sz="0" w:space="0" w:color="auto" w:frame="1"/>
        </w:rPr>
        <w:t>20-16</w:t>
      </w:r>
      <w:r w:rsidRPr="002A703E">
        <w:rPr>
          <w:rFonts w:cs="Calibri"/>
          <w:color w:val="201F1E"/>
          <w:sz w:val="24"/>
          <w:szCs w:val="24"/>
        </w:rPr>
        <w:t xml:space="preserve"> is rescinded.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98C" w:rsidRDefault="0089298C" w:rsidP="00EB68A6">
    <w:pPr>
      <w:jc w:val="center"/>
    </w:pPr>
  </w:p>
  <w:tbl>
    <w:tblPr>
      <w:tblW w:w="10800" w:type="dxa"/>
      <w:tblInd w:w="-90" w:type="dxa"/>
      <w:tblLook w:val="04A0" w:firstRow="1" w:lastRow="0" w:firstColumn="1" w:lastColumn="0" w:noHBand="0" w:noVBand="1"/>
    </w:tblPr>
    <w:tblGrid>
      <w:gridCol w:w="3600"/>
      <w:gridCol w:w="3600"/>
      <w:gridCol w:w="3600"/>
    </w:tblGrid>
    <w:tr w:rsidR="00D85348" w:rsidRPr="008B1821" w:rsidTr="006C22BD">
      <w:trPr>
        <w:trHeight w:val="1152"/>
      </w:trPr>
      <w:tc>
        <w:tcPr>
          <w:tcW w:w="3600" w:type="dxa"/>
          <w:tcBorders>
            <w:bottom w:val="single" w:sz="12" w:space="0" w:color="00037E"/>
          </w:tcBorders>
          <w:vAlign w:val="bottom"/>
        </w:tcPr>
        <w:p w:rsidR="0089298C" w:rsidRPr="00D85348" w:rsidRDefault="0089298C" w:rsidP="0059559F">
          <w:pPr>
            <w:rPr>
              <w:color w:val="000060"/>
              <w:sz w:val="16"/>
              <w:szCs w:val="16"/>
            </w:rPr>
          </w:pPr>
          <w:r w:rsidRPr="00D85348">
            <w:rPr>
              <w:color w:val="000060"/>
              <w:sz w:val="16"/>
              <w:szCs w:val="16"/>
            </w:rPr>
            <w:t>2</w:t>
          </w:r>
          <w:r w:rsidR="00CC22DB" w:rsidRPr="00D85348">
            <w:rPr>
              <w:color w:val="000060"/>
              <w:sz w:val="16"/>
              <w:szCs w:val="16"/>
            </w:rPr>
            <w:t>722</w:t>
          </w:r>
          <w:r w:rsidRPr="00D85348">
            <w:rPr>
              <w:color w:val="000060"/>
              <w:sz w:val="16"/>
              <w:szCs w:val="16"/>
            </w:rPr>
            <w:t xml:space="preserve"> SW Topeka Blvd.</w:t>
          </w:r>
        </w:p>
        <w:p w:rsidR="0089298C" w:rsidRPr="00D85348" w:rsidRDefault="0089298C" w:rsidP="0059559F">
          <w:pPr>
            <w:rPr>
              <w:color w:val="000060"/>
              <w:sz w:val="16"/>
              <w:szCs w:val="16"/>
            </w:rPr>
          </w:pPr>
          <w:r w:rsidRPr="00D85348">
            <w:rPr>
              <w:color w:val="000060"/>
              <w:sz w:val="16"/>
              <w:szCs w:val="16"/>
            </w:rPr>
            <w:t>Topeka, KS  66611-1287</w:t>
          </w:r>
        </w:p>
        <w:p w:rsidR="0089298C" w:rsidRPr="00617969" w:rsidRDefault="0089298C" w:rsidP="0059559F">
          <w:pPr>
            <w:rPr>
              <w:rFonts w:ascii="Arial" w:hAnsi="Arial" w:cs="Arial"/>
              <w:color w:val="000060"/>
              <w:sz w:val="8"/>
              <w:szCs w:val="16"/>
            </w:rPr>
          </w:pPr>
        </w:p>
      </w:tc>
      <w:tc>
        <w:tcPr>
          <w:tcW w:w="3600" w:type="dxa"/>
          <w:tcBorders>
            <w:bottom w:val="single" w:sz="12" w:space="0" w:color="00037E"/>
          </w:tcBorders>
        </w:tcPr>
        <w:p w:rsidR="0089298C" w:rsidRPr="00617969" w:rsidRDefault="0032138E" w:rsidP="00617969">
          <w:pPr>
            <w:jc w:val="center"/>
            <w:rPr>
              <w:color w:val="000060"/>
            </w:rPr>
          </w:pPr>
          <w:r>
            <w:rPr>
              <w:noProof/>
              <w:color w:val="000060"/>
            </w:rPr>
            <w:drawing>
              <wp:anchor distT="0" distB="0" distL="114300" distR="114300" simplePos="0" relativeHeight="251658240" behindDoc="0" locked="0" layoutInCell="1" allowOverlap="1">
                <wp:simplePos x="0" y="0"/>
                <wp:positionH relativeFrom="column">
                  <wp:posOffset>427413</wp:posOffset>
                </wp:positionH>
                <wp:positionV relativeFrom="paragraph">
                  <wp:posOffset>50800</wp:posOffset>
                </wp:positionV>
                <wp:extent cx="1248318" cy="640080"/>
                <wp:effectExtent l="0" t="0" r="9525" b="7620"/>
                <wp:wrapThrough wrapText="bothSides">
                  <wp:wrapPolygon edited="0">
                    <wp:start x="0" y="0"/>
                    <wp:lineTo x="0" y="21214"/>
                    <wp:lineTo x="21435" y="21214"/>
                    <wp:lineTo x="2143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_AdjGeneralDeptLogo_Blue_PM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8318" cy="640080"/>
                        </a:xfrm>
                        <a:prstGeom prst="rect">
                          <a:avLst/>
                        </a:prstGeom>
                      </pic:spPr>
                    </pic:pic>
                  </a:graphicData>
                </a:graphic>
                <wp14:sizeRelH relativeFrom="page">
                  <wp14:pctWidth>0</wp14:pctWidth>
                </wp14:sizeRelH>
                <wp14:sizeRelV relativeFrom="page">
                  <wp14:pctHeight>0</wp14:pctHeight>
                </wp14:sizeRelV>
              </wp:anchor>
            </w:drawing>
          </w:r>
        </w:p>
      </w:tc>
      <w:tc>
        <w:tcPr>
          <w:tcW w:w="3600" w:type="dxa"/>
          <w:tcBorders>
            <w:bottom w:val="single" w:sz="12" w:space="0" w:color="00037E"/>
          </w:tcBorders>
          <w:vAlign w:val="bottom"/>
        </w:tcPr>
        <w:p w:rsidR="0089298C" w:rsidRPr="00D85348" w:rsidRDefault="0089298C" w:rsidP="00617969">
          <w:pPr>
            <w:jc w:val="right"/>
            <w:rPr>
              <w:color w:val="000060"/>
              <w:sz w:val="16"/>
              <w:szCs w:val="16"/>
            </w:rPr>
          </w:pPr>
          <w:r w:rsidRPr="00D85348">
            <w:rPr>
              <w:color w:val="000060"/>
              <w:sz w:val="16"/>
              <w:szCs w:val="16"/>
            </w:rPr>
            <w:t xml:space="preserve">phone:  </w:t>
          </w:r>
          <w:r w:rsidR="009C044F">
            <w:rPr>
              <w:color w:val="000060"/>
              <w:sz w:val="16"/>
              <w:szCs w:val="16"/>
            </w:rPr>
            <w:t>785-646-0090</w:t>
          </w:r>
        </w:p>
        <w:p w:rsidR="0089298C" w:rsidRPr="00D85348" w:rsidRDefault="0089298C" w:rsidP="00617969">
          <w:pPr>
            <w:jc w:val="right"/>
            <w:rPr>
              <w:color w:val="000060"/>
              <w:sz w:val="16"/>
              <w:szCs w:val="16"/>
            </w:rPr>
          </w:pPr>
          <w:r w:rsidRPr="00D85348">
            <w:rPr>
              <w:color w:val="000060"/>
              <w:sz w:val="16"/>
              <w:szCs w:val="16"/>
            </w:rPr>
            <w:t xml:space="preserve">fax:  </w:t>
          </w:r>
          <w:r w:rsidR="009C044F">
            <w:rPr>
              <w:color w:val="000060"/>
              <w:sz w:val="16"/>
              <w:szCs w:val="16"/>
            </w:rPr>
            <w:t>785-646</w:t>
          </w:r>
          <w:r w:rsidRPr="00D85348">
            <w:rPr>
              <w:color w:val="000060"/>
              <w:sz w:val="16"/>
              <w:szCs w:val="16"/>
            </w:rPr>
            <w:t>-</w:t>
          </w:r>
          <w:r w:rsidR="009C044F">
            <w:rPr>
              <w:color w:val="000060"/>
              <w:sz w:val="16"/>
              <w:szCs w:val="16"/>
            </w:rPr>
            <w:t>0099</w:t>
          </w:r>
        </w:p>
        <w:p w:rsidR="0089298C" w:rsidRPr="00D85348" w:rsidRDefault="0089298C" w:rsidP="00617969">
          <w:pPr>
            <w:jc w:val="right"/>
            <w:rPr>
              <w:color w:val="000060"/>
              <w:sz w:val="16"/>
              <w:szCs w:val="16"/>
            </w:rPr>
          </w:pPr>
          <w:r w:rsidRPr="00D85348">
            <w:rPr>
              <w:color w:val="000060"/>
              <w:sz w:val="16"/>
              <w:szCs w:val="16"/>
            </w:rPr>
            <w:t>www.kansastag.gov</w:t>
          </w:r>
        </w:p>
        <w:p w:rsidR="0089298C" w:rsidRPr="00617969" w:rsidRDefault="0089298C" w:rsidP="00617969">
          <w:pPr>
            <w:jc w:val="right"/>
            <w:rPr>
              <w:rFonts w:ascii="Arial" w:hAnsi="Arial" w:cs="Arial"/>
              <w:color w:val="000060"/>
              <w:sz w:val="8"/>
              <w:szCs w:val="16"/>
            </w:rPr>
          </w:pPr>
        </w:p>
      </w:tc>
    </w:tr>
    <w:tr w:rsidR="00D85348" w:rsidRPr="009B252B" w:rsidTr="006C22BD">
      <w:trPr>
        <w:trHeight w:val="402"/>
      </w:trPr>
      <w:tc>
        <w:tcPr>
          <w:tcW w:w="3600" w:type="dxa"/>
          <w:tcBorders>
            <w:top w:val="single" w:sz="12" w:space="0" w:color="00037E"/>
          </w:tcBorders>
        </w:tcPr>
        <w:p w:rsidR="0089298C" w:rsidRPr="009B252B" w:rsidRDefault="0089298C" w:rsidP="00D85348">
          <w:pPr>
            <w:rPr>
              <w:color w:val="000060"/>
              <w:sz w:val="16"/>
              <w:szCs w:val="16"/>
            </w:rPr>
          </w:pPr>
          <w:r>
            <w:rPr>
              <w:color w:val="000060"/>
              <w:sz w:val="16"/>
              <w:szCs w:val="16"/>
            </w:rPr>
            <w:t xml:space="preserve">Major </w:t>
          </w:r>
          <w:r w:rsidR="00AE6D00">
            <w:rPr>
              <w:color w:val="000060"/>
              <w:sz w:val="16"/>
              <w:szCs w:val="16"/>
            </w:rPr>
            <w:t xml:space="preserve">General David </w:t>
          </w:r>
          <w:r w:rsidR="007500A8">
            <w:rPr>
              <w:color w:val="000060"/>
              <w:sz w:val="16"/>
              <w:szCs w:val="16"/>
            </w:rPr>
            <w:t xml:space="preserve">A. </w:t>
          </w:r>
          <w:r w:rsidR="00AE6D00">
            <w:rPr>
              <w:color w:val="000060"/>
              <w:sz w:val="16"/>
              <w:szCs w:val="16"/>
            </w:rPr>
            <w:t>Weishaar</w:t>
          </w:r>
        </w:p>
        <w:p w:rsidR="0089298C" w:rsidRDefault="0089298C" w:rsidP="00D85348">
          <w:pPr>
            <w:rPr>
              <w:color w:val="000060"/>
              <w:sz w:val="16"/>
              <w:szCs w:val="16"/>
            </w:rPr>
          </w:pPr>
          <w:r>
            <w:rPr>
              <w:color w:val="000060"/>
              <w:sz w:val="16"/>
              <w:szCs w:val="16"/>
            </w:rPr>
            <w:t>The Adjutant General and Director of</w:t>
          </w:r>
        </w:p>
        <w:p w:rsidR="0089298C" w:rsidRPr="00617969" w:rsidRDefault="0089298C" w:rsidP="00D85348">
          <w:pPr>
            <w:rPr>
              <w:color w:val="000060"/>
            </w:rPr>
          </w:pPr>
          <w:r>
            <w:rPr>
              <w:color w:val="000060"/>
              <w:sz w:val="16"/>
              <w:szCs w:val="16"/>
            </w:rPr>
            <w:t>Emergency Management &amp; Homeland Security</w:t>
          </w:r>
        </w:p>
      </w:tc>
      <w:tc>
        <w:tcPr>
          <w:tcW w:w="3600" w:type="dxa"/>
          <w:tcBorders>
            <w:top w:val="single" w:sz="12" w:space="0" w:color="00037E"/>
          </w:tcBorders>
        </w:tcPr>
        <w:p w:rsidR="0089298C" w:rsidRPr="009B252B" w:rsidRDefault="0089298C" w:rsidP="00D85348">
          <w:pPr>
            <w:rPr>
              <w:color w:val="000060"/>
            </w:rPr>
          </w:pPr>
        </w:p>
      </w:tc>
      <w:tc>
        <w:tcPr>
          <w:tcW w:w="3600" w:type="dxa"/>
          <w:tcBorders>
            <w:top w:val="single" w:sz="12" w:space="0" w:color="00037E"/>
          </w:tcBorders>
        </w:tcPr>
        <w:p w:rsidR="0089298C" w:rsidRPr="009B252B" w:rsidRDefault="00CC22DB" w:rsidP="00E633CA">
          <w:pPr>
            <w:jc w:val="right"/>
            <w:rPr>
              <w:color w:val="000060"/>
            </w:rPr>
          </w:pPr>
          <w:r>
            <w:rPr>
              <w:color w:val="000060"/>
              <w:sz w:val="16"/>
              <w:szCs w:val="16"/>
            </w:rPr>
            <w:t>Laura Kelly</w:t>
          </w:r>
          <w:r w:rsidR="0089298C" w:rsidRPr="009B252B">
            <w:rPr>
              <w:color w:val="000060"/>
              <w:sz w:val="16"/>
              <w:szCs w:val="16"/>
            </w:rPr>
            <w:t>, Governor</w:t>
          </w:r>
        </w:p>
      </w:tc>
    </w:tr>
  </w:tbl>
  <w:p w:rsidR="0089298C" w:rsidRDefault="0089298C" w:rsidP="008C0FE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897A46"/>
    <w:multiLevelType w:val="hybridMultilevel"/>
    <w:tmpl w:val="572CA5D2"/>
    <w:lvl w:ilvl="0" w:tplc="731C5E3E">
      <w:start w:val="1"/>
      <w:numFmt w:val="decimal"/>
      <w:lvlText w:val="%1."/>
      <w:lvlJc w:val="left"/>
      <w:pPr>
        <w:ind w:left="720" w:hanging="360"/>
      </w:pPr>
      <w:rPr>
        <w:rFonts w:hint="default"/>
        <w:b w:val="0"/>
        <w:bCs w:val="0"/>
      </w:rPr>
    </w:lvl>
    <w:lvl w:ilvl="1" w:tplc="D47E6F5A">
      <w:start w:val="1"/>
      <w:numFmt w:val="lowerLetter"/>
      <w:lvlText w:val="%2."/>
      <w:lvlJc w:val="left"/>
      <w:pPr>
        <w:ind w:left="1440" w:hanging="360"/>
      </w:pPr>
      <w:rPr>
        <w:b w:val="0"/>
        <w:bCs w:val="0"/>
      </w:rPr>
    </w:lvl>
    <w:lvl w:ilvl="2" w:tplc="D994A582">
      <w:start w:val="1"/>
      <w:numFmt w:val="lowerRoman"/>
      <w:lvlText w:val="%3."/>
      <w:lvlJc w:val="right"/>
      <w:pPr>
        <w:ind w:left="2160" w:hanging="180"/>
      </w:pPr>
      <w:rPr>
        <w:b w:val="0"/>
        <w:bCs w:val="0"/>
      </w:rPr>
    </w:lvl>
    <w:lvl w:ilvl="3" w:tplc="131EC53A">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59F"/>
    <w:rsid w:val="00001C78"/>
    <w:rsid w:val="00011EFC"/>
    <w:rsid w:val="000137B7"/>
    <w:rsid w:val="00020F37"/>
    <w:rsid w:val="00031652"/>
    <w:rsid w:val="0003181C"/>
    <w:rsid w:val="00040D5D"/>
    <w:rsid w:val="0004194D"/>
    <w:rsid w:val="00043C7E"/>
    <w:rsid w:val="0004495E"/>
    <w:rsid w:val="0004796F"/>
    <w:rsid w:val="00054B14"/>
    <w:rsid w:val="00065CEF"/>
    <w:rsid w:val="000667B1"/>
    <w:rsid w:val="0007016B"/>
    <w:rsid w:val="00071B96"/>
    <w:rsid w:val="00072C9A"/>
    <w:rsid w:val="00076AFA"/>
    <w:rsid w:val="00082913"/>
    <w:rsid w:val="000848E3"/>
    <w:rsid w:val="000A0A2F"/>
    <w:rsid w:val="000A753E"/>
    <w:rsid w:val="000C09AC"/>
    <w:rsid w:val="000C30A1"/>
    <w:rsid w:val="000C4ED5"/>
    <w:rsid w:val="000C56B2"/>
    <w:rsid w:val="000C669C"/>
    <w:rsid w:val="000D5F66"/>
    <w:rsid w:val="000E0642"/>
    <w:rsid w:val="000E06A6"/>
    <w:rsid w:val="000E2D6A"/>
    <w:rsid w:val="000E329B"/>
    <w:rsid w:val="000E6697"/>
    <w:rsid w:val="001021C4"/>
    <w:rsid w:val="00104023"/>
    <w:rsid w:val="00112516"/>
    <w:rsid w:val="001171B7"/>
    <w:rsid w:val="00130F09"/>
    <w:rsid w:val="00131AB9"/>
    <w:rsid w:val="00137E7B"/>
    <w:rsid w:val="001412C4"/>
    <w:rsid w:val="00142766"/>
    <w:rsid w:val="00144B00"/>
    <w:rsid w:val="00156028"/>
    <w:rsid w:val="00187090"/>
    <w:rsid w:val="00190A7E"/>
    <w:rsid w:val="001B00DC"/>
    <w:rsid w:val="001C7224"/>
    <w:rsid w:val="001D3C69"/>
    <w:rsid w:val="001E0106"/>
    <w:rsid w:val="002015B3"/>
    <w:rsid w:val="002253FE"/>
    <w:rsid w:val="00232B3A"/>
    <w:rsid w:val="00251C8C"/>
    <w:rsid w:val="0028754F"/>
    <w:rsid w:val="00291A45"/>
    <w:rsid w:val="00294EEE"/>
    <w:rsid w:val="002A2074"/>
    <w:rsid w:val="002A25A9"/>
    <w:rsid w:val="002A303B"/>
    <w:rsid w:val="002A655F"/>
    <w:rsid w:val="002A703E"/>
    <w:rsid w:val="002D7292"/>
    <w:rsid w:val="00302B93"/>
    <w:rsid w:val="00303BFB"/>
    <w:rsid w:val="003040A4"/>
    <w:rsid w:val="0030523E"/>
    <w:rsid w:val="0031015E"/>
    <w:rsid w:val="00310706"/>
    <w:rsid w:val="0032138E"/>
    <w:rsid w:val="003253A7"/>
    <w:rsid w:val="00331EB6"/>
    <w:rsid w:val="00333C4F"/>
    <w:rsid w:val="003347D7"/>
    <w:rsid w:val="003550A1"/>
    <w:rsid w:val="003552A1"/>
    <w:rsid w:val="003557F4"/>
    <w:rsid w:val="00355859"/>
    <w:rsid w:val="00360465"/>
    <w:rsid w:val="003639DD"/>
    <w:rsid w:val="0037100E"/>
    <w:rsid w:val="00372304"/>
    <w:rsid w:val="00384981"/>
    <w:rsid w:val="00386BA8"/>
    <w:rsid w:val="003938A6"/>
    <w:rsid w:val="003978C7"/>
    <w:rsid w:val="003C0F30"/>
    <w:rsid w:val="003C308A"/>
    <w:rsid w:val="003C30AF"/>
    <w:rsid w:val="003C4520"/>
    <w:rsid w:val="003D2ACE"/>
    <w:rsid w:val="003D4A48"/>
    <w:rsid w:val="003E511D"/>
    <w:rsid w:val="003E73AD"/>
    <w:rsid w:val="003F0F3C"/>
    <w:rsid w:val="00417628"/>
    <w:rsid w:val="00417A35"/>
    <w:rsid w:val="00417F29"/>
    <w:rsid w:val="00440868"/>
    <w:rsid w:val="00442274"/>
    <w:rsid w:val="00443635"/>
    <w:rsid w:val="004605AB"/>
    <w:rsid w:val="0046190F"/>
    <w:rsid w:val="004724D1"/>
    <w:rsid w:val="00473A78"/>
    <w:rsid w:val="00475B5E"/>
    <w:rsid w:val="0048175A"/>
    <w:rsid w:val="00496CB3"/>
    <w:rsid w:val="004A7C44"/>
    <w:rsid w:val="004B330F"/>
    <w:rsid w:val="004C1E87"/>
    <w:rsid w:val="004C43FD"/>
    <w:rsid w:val="004C536B"/>
    <w:rsid w:val="004D2FF0"/>
    <w:rsid w:val="004E09CA"/>
    <w:rsid w:val="00501204"/>
    <w:rsid w:val="00501A20"/>
    <w:rsid w:val="0050763E"/>
    <w:rsid w:val="00510593"/>
    <w:rsid w:val="00511556"/>
    <w:rsid w:val="00516DD6"/>
    <w:rsid w:val="00527A54"/>
    <w:rsid w:val="00537143"/>
    <w:rsid w:val="00542A91"/>
    <w:rsid w:val="00545849"/>
    <w:rsid w:val="00550BE3"/>
    <w:rsid w:val="00551E45"/>
    <w:rsid w:val="00573C39"/>
    <w:rsid w:val="00591896"/>
    <w:rsid w:val="00594CE2"/>
    <w:rsid w:val="0059559F"/>
    <w:rsid w:val="005A2F0B"/>
    <w:rsid w:val="005B21FE"/>
    <w:rsid w:val="005B69CD"/>
    <w:rsid w:val="005C09EF"/>
    <w:rsid w:val="005C1664"/>
    <w:rsid w:val="005C2371"/>
    <w:rsid w:val="005C2DE5"/>
    <w:rsid w:val="005C66AE"/>
    <w:rsid w:val="005C6DDB"/>
    <w:rsid w:val="005E002E"/>
    <w:rsid w:val="005E3FE5"/>
    <w:rsid w:val="0060102F"/>
    <w:rsid w:val="00603D56"/>
    <w:rsid w:val="006171CC"/>
    <w:rsid w:val="00617969"/>
    <w:rsid w:val="00622025"/>
    <w:rsid w:val="00626E10"/>
    <w:rsid w:val="006341BE"/>
    <w:rsid w:val="00637828"/>
    <w:rsid w:val="00646938"/>
    <w:rsid w:val="0065092F"/>
    <w:rsid w:val="006535FE"/>
    <w:rsid w:val="00663950"/>
    <w:rsid w:val="0068036F"/>
    <w:rsid w:val="006A4DD8"/>
    <w:rsid w:val="006B56BE"/>
    <w:rsid w:val="006B7D38"/>
    <w:rsid w:val="006C22BD"/>
    <w:rsid w:val="006D26D4"/>
    <w:rsid w:val="006F5E82"/>
    <w:rsid w:val="007119C0"/>
    <w:rsid w:val="00717444"/>
    <w:rsid w:val="00717EAD"/>
    <w:rsid w:val="00732AAA"/>
    <w:rsid w:val="00741A27"/>
    <w:rsid w:val="00741FB4"/>
    <w:rsid w:val="007500A8"/>
    <w:rsid w:val="0075100D"/>
    <w:rsid w:val="00764234"/>
    <w:rsid w:val="00780629"/>
    <w:rsid w:val="00780AB8"/>
    <w:rsid w:val="007939AD"/>
    <w:rsid w:val="007971D4"/>
    <w:rsid w:val="007976B1"/>
    <w:rsid w:val="007B3A9F"/>
    <w:rsid w:val="007C1F77"/>
    <w:rsid w:val="007D380F"/>
    <w:rsid w:val="007D6DAC"/>
    <w:rsid w:val="007D7226"/>
    <w:rsid w:val="007D7A9C"/>
    <w:rsid w:val="007E3F54"/>
    <w:rsid w:val="007F4294"/>
    <w:rsid w:val="00806D28"/>
    <w:rsid w:val="00806ED4"/>
    <w:rsid w:val="00814C42"/>
    <w:rsid w:val="00822C56"/>
    <w:rsid w:val="008258C0"/>
    <w:rsid w:val="008276CD"/>
    <w:rsid w:val="00840F27"/>
    <w:rsid w:val="008578DA"/>
    <w:rsid w:val="00862315"/>
    <w:rsid w:val="0086558F"/>
    <w:rsid w:val="00867050"/>
    <w:rsid w:val="00885148"/>
    <w:rsid w:val="0089298C"/>
    <w:rsid w:val="008A1313"/>
    <w:rsid w:val="008B1821"/>
    <w:rsid w:val="008B546C"/>
    <w:rsid w:val="008B6931"/>
    <w:rsid w:val="008C0FEB"/>
    <w:rsid w:val="008E03C9"/>
    <w:rsid w:val="008E4AC6"/>
    <w:rsid w:val="008F7537"/>
    <w:rsid w:val="00907765"/>
    <w:rsid w:val="00935227"/>
    <w:rsid w:val="0093680D"/>
    <w:rsid w:val="009439F4"/>
    <w:rsid w:val="0095570F"/>
    <w:rsid w:val="00962BA0"/>
    <w:rsid w:val="00962E44"/>
    <w:rsid w:val="009675AD"/>
    <w:rsid w:val="009713FE"/>
    <w:rsid w:val="0097332D"/>
    <w:rsid w:val="00983B1E"/>
    <w:rsid w:val="00990CB0"/>
    <w:rsid w:val="00991165"/>
    <w:rsid w:val="00997B08"/>
    <w:rsid w:val="009A706E"/>
    <w:rsid w:val="009B1F17"/>
    <w:rsid w:val="009B252B"/>
    <w:rsid w:val="009C044F"/>
    <w:rsid w:val="009D1709"/>
    <w:rsid w:val="009E464E"/>
    <w:rsid w:val="009F5F72"/>
    <w:rsid w:val="00A00208"/>
    <w:rsid w:val="00A1241D"/>
    <w:rsid w:val="00A1641D"/>
    <w:rsid w:val="00A23E88"/>
    <w:rsid w:val="00A26C75"/>
    <w:rsid w:val="00A30E99"/>
    <w:rsid w:val="00A33E1C"/>
    <w:rsid w:val="00A3497B"/>
    <w:rsid w:val="00A405D4"/>
    <w:rsid w:val="00A40AAF"/>
    <w:rsid w:val="00A529A9"/>
    <w:rsid w:val="00A52B9F"/>
    <w:rsid w:val="00A54707"/>
    <w:rsid w:val="00A6492B"/>
    <w:rsid w:val="00A73582"/>
    <w:rsid w:val="00A76227"/>
    <w:rsid w:val="00A81A3F"/>
    <w:rsid w:val="00A82A6A"/>
    <w:rsid w:val="00A87978"/>
    <w:rsid w:val="00AB3BA8"/>
    <w:rsid w:val="00AE5BE5"/>
    <w:rsid w:val="00AE6D00"/>
    <w:rsid w:val="00AF3CDD"/>
    <w:rsid w:val="00B06F08"/>
    <w:rsid w:val="00B15B19"/>
    <w:rsid w:val="00B22595"/>
    <w:rsid w:val="00B24CDA"/>
    <w:rsid w:val="00B27F1F"/>
    <w:rsid w:val="00B40E9A"/>
    <w:rsid w:val="00B43992"/>
    <w:rsid w:val="00B451EC"/>
    <w:rsid w:val="00B63CC1"/>
    <w:rsid w:val="00B63F4D"/>
    <w:rsid w:val="00B714AA"/>
    <w:rsid w:val="00B726C9"/>
    <w:rsid w:val="00B77007"/>
    <w:rsid w:val="00BA5615"/>
    <w:rsid w:val="00BB3360"/>
    <w:rsid w:val="00BB3E18"/>
    <w:rsid w:val="00BC0655"/>
    <w:rsid w:val="00BC0D5A"/>
    <w:rsid w:val="00BD37BE"/>
    <w:rsid w:val="00BD4782"/>
    <w:rsid w:val="00BF3259"/>
    <w:rsid w:val="00C10E7A"/>
    <w:rsid w:val="00C11989"/>
    <w:rsid w:val="00C16F10"/>
    <w:rsid w:val="00C33D0C"/>
    <w:rsid w:val="00C414BC"/>
    <w:rsid w:val="00C42A65"/>
    <w:rsid w:val="00C46106"/>
    <w:rsid w:val="00C47082"/>
    <w:rsid w:val="00C474B3"/>
    <w:rsid w:val="00C663D5"/>
    <w:rsid w:val="00C66E8E"/>
    <w:rsid w:val="00C67B1C"/>
    <w:rsid w:val="00C7336E"/>
    <w:rsid w:val="00C76563"/>
    <w:rsid w:val="00C773A3"/>
    <w:rsid w:val="00C849D7"/>
    <w:rsid w:val="00C97C20"/>
    <w:rsid w:val="00CB00FD"/>
    <w:rsid w:val="00CB2EF2"/>
    <w:rsid w:val="00CC22DB"/>
    <w:rsid w:val="00CD50C0"/>
    <w:rsid w:val="00CE16B0"/>
    <w:rsid w:val="00CE1EB5"/>
    <w:rsid w:val="00CE2504"/>
    <w:rsid w:val="00CE7BC2"/>
    <w:rsid w:val="00CF0709"/>
    <w:rsid w:val="00CF6555"/>
    <w:rsid w:val="00CF784F"/>
    <w:rsid w:val="00D1334D"/>
    <w:rsid w:val="00D15D43"/>
    <w:rsid w:val="00D216AD"/>
    <w:rsid w:val="00D225BF"/>
    <w:rsid w:val="00D34661"/>
    <w:rsid w:val="00D361CF"/>
    <w:rsid w:val="00D37E43"/>
    <w:rsid w:val="00D54060"/>
    <w:rsid w:val="00D5477D"/>
    <w:rsid w:val="00D62DE4"/>
    <w:rsid w:val="00D75CB6"/>
    <w:rsid w:val="00D777C0"/>
    <w:rsid w:val="00D85348"/>
    <w:rsid w:val="00D9165F"/>
    <w:rsid w:val="00D92F34"/>
    <w:rsid w:val="00D93DC1"/>
    <w:rsid w:val="00DA34CB"/>
    <w:rsid w:val="00DB3A56"/>
    <w:rsid w:val="00DB590F"/>
    <w:rsid w:val="00DD14FA"/>
    <w:rsid w:val="00DE0083"/>
    <w:rsid w:val="00DE633A"/>
    <w:rsid w:val="00DF0E4B"/>
    <w:rsid w:val="00DF247F"/>
    <w:rsid w:val="00E02AE4"/>
    <w:rsid w:val="00E051AD"/>
    <w:rsid w:val="00E0645B"/>
    <w:rsid w:val="00E2391A"/>
    <w:rsid w:val="00E32D6C"/>
    <w:rsid w:val="00E36DCA"/>
    <w:rsid w:val="00E51B35"/>
    <w:rsid w:val="00E53B2F"/>
    <w:rsid w:val="00E5447A"/>
    <w:rsid w:val="00E54794"/>
    <w:rsid w:val="00E57163"/>
    <w:rsid w:val="00E62889"/>
    <w:rsid w:val="00E633CA"/>
    <w:rsid w:val="00E747B5"/>
    <w:rsid w:val="00E769A3"/>
    <w:rsid w:val="00E87BFE"/>
    <w:rsid w:val="00EB2EDD"/>
    <w:rsid w:val="00EB38ED"/>
    <w:rsid w:val="00EB67D5"/>
    <w:rsid w:val="00EB68A6"/>
    <w:rsid w:val="00EC1669"/>
    <w:rsid w:val="00ED28E6"/>
    <w:rsid w:val="00EE0225"/>
    <w:rsid w:val="00EE07BC"/>
    <w:rsid w:val="00EE1333"/>
    <w:rsid w:val="00EF778B"/>
    <w:rsid w:val="00F0206B"/>
    <w:rsid w:val="00F11C41"/>
    <w:rsid w:val="00F227F0"/>
    <w:rsid w:val="00F2778E"/>
    <w:rsid w:val="00F309A3"/>
    <w:rsid w:val="00F43295"/>
    <w:rsid w:val="00F52FE2"/>
    <w:rsid w:val="00F65FFD"/>
    <w:rsid w:val="00F724CE"/>
    <w:rsid w:val="00F82C68"/>
    <w:rsid w:val="00F83D29"/>
    <w:rsid w:val="00F901B1"/>
    <w:rsid w:val="00FA0042"/>
    <w:rsid w:val="00FB0A9F"/>
    <w:rsid w:val="00FB134C"/>
    <w:rsid w:val="00FB50B3"/>
    <w:rsid w:val="00FC121D"/>
    <w:rsid w:val="00FC37D5"/>
    <w:rsid w:val="00FE1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C1ECEA1-5151-4743-8021-ED4A6659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48175A"/>
    <w:rPr>
      <w:rFonts w:ascii="Courier New" w:hAnsi="Courier New"/>
    </w:rPr>
  </w:style>
  <w:style w:type="paragraph" w:styleId="BalloonText">
    <w:name w:val="Balloon Text"/>
    <w:basedOn w:val="Normal"/>
    <w:link w:val="BalloonTextChar"/>
    <w:uiPriority w:val="99"/>
    <w:semiHidden/>
    <w:unhideWhenUsed/>
    <w:rsid w:val="008E03C9"/>
    <w:rPr>
      <w:rFonts w:ascii="Tahoma" w:hAnsi="Tahoma" w:cs="Tahoma"/>
      <w:sz w:val="16"/>
      <w:szCs w:val="16"/>
    </w:rPr>
  </w:style>
  <w:style w:type="character" w:customStyle="1" w:styleId="BalloonTextChar">
    <w:name w:val="Balloon Text Char"/>
    <w:link w:val="BalloonText"/>
    <w:uiPriority w:val="99"/>
    <w:semiHidden/>
    <w:rsid w:val="008E03C9"/>
    <w:rPr>
      <w:rFonts w:ascii="Tahoma" w:hAnsi="Tahoma" w:cs="Tahoma"/>
      <w:sz w:val="16"/>
      <w:szCs w:val="16"/>
    </w:rPr>
  </w:style>
  <w:style w:type="paragraph" w:styleId="Header">
    <w:name w:val="header"/>
    <w:basedOn w:val="Normal"/>
    <w:link w:val="HeaderChar"/>
    <w:uiPriority w:val="99"/>
    <w:unhideWhenUsed/>
    <w:rsid w:val="00A23E88"/>
    <w:pPr>
      <w:tabs>
        <w:tab w:val="center" w:pos="4680"/>
        <w:tab w:val="right" w:pos="9360"/>
      </w:tabs>
    </w:pPr>
  </w:style>
  <w:style w:type="character" w:customStyle="1" w:styleId="HeaderChar">
    <w:name w:val="Header Char"/>
    <w:basedOn w:val="DefaultParagraphFont"/>
    <w:link w:val="Header"/>
    <w:uiPriority w:val="99"/>
    <w:rsid w:val="00A23E88"/>
  </w:style>
  <w:style w:type="paragraph" w:styleId="Footer">
    <w:name w:val="footer"/>
    <w:basedOn w:val="Normal"/>
    <w:link w:val="FooterChar"/>
    <w:uiPriority w:val="99"/>
    <w:unhideWhenUsed/>
    <w:rsid w:val="00A23E88"/>
    <w:pPr>
      <w:tabs>
        <w:tab w:val="center" w:pos="4680"/>
        <w:tab w:val="right" w:pos="9360"/>
      </w:tabs>
    </w:pPr>
  </w:style>
  <w:style w:type="character" w:customStyle="1" w:styleId="FooterChar">
    <w:name w:val="Footer Char"/>
    <w:basedOn w:val="DefaultParagraphFont"/>
    <w:link w:val="Footer"/>
    <w:uiPriority w:val="99"/>
    <w:rsid w:val="00A23E88"/>
  </w:style>
  <w:style w:type="table" w:styleId="TableGrid">
    <w:name w:val="Table Grid"/>
    <w:basedOn w:val="TableNormal"/>
    <w:uiPriority w:val="59"/>
    <w:rsid w:val="00CF0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07765"/>
    <w:rPr>
      <w:color w:val="0000FF"/>
      <w:u w:val="single"/>
    </w:rPr>
  </w:style>
  <w:style w:type="character" w:customStyle="1" w:styleId="PlainTextChar">
    <w:name w:val="Plain Text Char"/>
    <w:link w:val="PlainText"/>
    <w:uiPriority w:val="99"/>
    <w:semiHidden/>
    <w:rsid w:val="00E051AD"/>
    <w:rPr>
      <w:rFonts w:ascii="Courier New" w:hAnsi="Courier New"/>
    </w:rPr>
  </w:style>
  <w:style w:type="paragraph" w:customStyle="1" w:styleId="xmsonormal">
    <w:name w:val="x_msonormal"/>
    <w:basedOn w:val="Normal"/>
    <w:rsid w:val="002A703E"/>
    <w:pPr>
      <w:spacing w:before="100" w:beforeAutospacing="1" w:after="100" w:afterAutospacing="1"/>
    </w:pPr>
    <w:rPr>
      <w:sz w:val="24"/>
      <w:szCs w:val="24"/>
    </w:rPr>
  </w:style>
  <w:style w:type="character" w:customStyle="1" w:styleId="mark0f11fu3sv">
    <w:name w:val="mark0f11fu3sv"/>
    <w:basedOn w:val="DefaultParagraphFont"/>
    <w:rsid w:val="002A703E"/>
  </w:style>
  <w:style w:type="character" w:customStyle="1" w:styleId="markzorpuwx41">
    <w:name w:val="markzorpuwx41"/>
    <w:basedOn w:val="DefaultParagraphFont"/>
    <w:rsid w:val="002A703E"/>
  </w:style>
  <w:style w:type="character" w:customStyle="1" w:styleId="marknmovp4gg7">
    <w:name w:val="marknmovp4gg7"/>
    <w:basedOn w:val="DefaultParagraphFont"/>
    <w:rsid w:val="002A703E"/>
  </w:style>
  <w:style w:type="character" w:customStyle="1" w:styleId="mark1ez2mwue3">
    <w:name w:val="mark1ez2mwue3"/>
    <w:basedOn w:val="DefaultParagraphFont"/>
    <w:rsid w:val="002A703E"/>
  </w:style>
  <w:style w:type="paragraph" w:styleId="FootnoteText">
    <w:name w:val="footnote text"/>
    <w:basedOn w:val="Normal"/>
    <w:link w:val="FootnoteTextChar"/>
    <w:uiPriority w:val="99"/>
    <w:semiHidden/>
    <w:unhideWhenUsed/>
    <w:rsid w:val="002A703E"/>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2A703E"/>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2A70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650608">
      <w:bodyDiv w:val="1"/>
      <w:marLeft w:val="0"/>
      <w:marRight w:val="0"/>
      <w:marTop w:val="0"/>
      <w:marBottom w:val="0"/>
      <w:divBdr>
        <w:top w:val="none" w:sz="0" w:space="0" w:color="auto"/>
        <w:left w:val="none" w:sz="0" w:space="0" w:color="auto"/>
        <w:bottom w:val="none" w:sz="0" w:space="0" w:color="auto"/>
        <w:right w:val="none" w:sz="0" w:space="0" w:color="auto"/>
      </w:divBdr>
    </w:div>
    <w:div w:id="1476684509">
      <w:bodyDiv w:val="1"/>
      <w:marLeft w:val="0"/>
      <w:marRight w:val="0"/>
      <w:marTop w:val="0"/>
      <w:marBottom w:val="0"/>
      <w:divBdr>
        <w:top w:val="none" w:sz="0" w:space="0" w:color="auto"/>
        <w:left w:val="none" w:sz="0" w:space="0" w:color="auto"/>
        <w:bottom w:val="none" w:sz="0" w:space="0" w:color="auto"/>
        <w:right w:val="none" w:sz="0" w:space="0" w:color="auto"/>
      </w:divBdr>
    </w:div>
    <w:div w:id="1588921341">
      <w:bodyDiv w:val="1"/>
      <w:marLeft w:val="0"/>
      <w:marRight w:val="0"/>
      <w:marTop w:val="0"/>
      <w:marBottom w:val="0"/>
      <w:divBdr>
        <w:top w:val="none" w:sz="0" w:space="0" w:color="auto"/>
        <w:left w:val="none" w:sz="0" w:space="0" w:color="auto"/>
        <w:bottom w:val="none" w:sz="0" w:space="0" w:color="auto"/>
        <w:right w:val="none" w:sz="0" w:space="0" w:color="auto"/>
      </w:divBdr>
    </w:div>
    <w:div w:id="175223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Stirrett\Local%20Settings\Temporary%20Internet%20Files\Content.Outlook\2MDY339U\KDO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D06CF-EEFF-4335-BCAC-655B5EFE5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KDOA Letterhead</Template>
  <TotalTime>1</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Division of Printing</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Stirrett</dc:creator>
  <cp:keywords/>
  <cp:lastModifiedBy>Diedre Serene</cp:lastModifiedBy>
  <cp:revision>2</cp:revision>
  <cp:lastPrinted>2019-01-16T16:10:00Z</cp:lastPrinted>
  <dcterms:created xsi:type="dcterms:W3CDTF">2020-04-15T20:28:00Z</dcterms:created>
  <dcterms:modified xsi:type="dcterms:W3CDTF">2020-04-15T20:28:00Z</dcterms:modified>
</cp:coreProperties>
</file>