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Spring 2020 Assessment and Accountability Updates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We are pleased to announce that our request for the assessment and accountability waiver has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been approved by the U.S. Department of Education and is supported by the State Board of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Education.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spring 2020, South Carolina will not administer any of the following assessment programs: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• SC READY (English language arts and mathematics in grades 3–8);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• SCPASS (science in grades 4 and 6);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• End-of-Course Examination Program (English, Algebra, Biology, United States History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and the Constitution) the requirement that these examinations count 20 percent has been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waived;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• Prekindergarten assessments – 4-year-old kindergarten (Phonological Awareness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Literacy Screening (PALS Pre-KTM), Individual Growth and Development Indicators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(myIGDIsTM), and Teaching Strategies® GOLD); and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• Alternate Assessments – some students have already taken the alternate assessments.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Districts will receive information for returning those materials.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 the extent possible, districts should administer the following tests in spring 2020. The South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Carolina Department of Education (SCDE) is working closely with the vendors of the tests listed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below to identify rescheduled testing dates and to explore innovative approaches (such as testing online), where possible. The SCDE will provide additional information as it becomes available.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Assessments include: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• Grade 10 Pre-ACT, PSAT, and Aspire;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• The ACT or SAT;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• Advanced Placement and Cambridge International Exams; and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• WIN Ready to Work.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Exams for International Baccalaureate courses have been canceled by the vendor.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The following requirements under the Every Students Succeeds Act (ESSA) shall be in place: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• the state’s accountability system, requiring that designations made in fall 2019 remain in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effect for one additional year;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• the English language proficiency assessment is waived;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• the ESSA required 95 percent participation rate on federally-required assessments is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waived;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• the alternate measure of achievement (which is South Carolina’s “Growth” metric on the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report card) is waived;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• the student success or school quality metrics (which in South Carolina is the “Student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Progress” metric, the “Student Engagement” metric, and the “College and Career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Readiness” metric) is waived; and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• certain public reporting requirements are waived.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This flexibility will allow us to focus on addressing this public health pandemic and meeting the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immediate and most important needs of the students and faculty we serve. If you have any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questions about assessments, please contact Elizabeth Jones at ejones@ed.sc.gov. If you have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any questions about the accountability system, please contact John Payne at jrpayne@ed.sc.gov.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