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center"/>
        <w:rPr>
          <w:rFonts w:ascii="Acme" w:cs="Acme" w:eastAsia="Acme" w:hAnsi="Acme"/>
          <w:b w:val="1"/>
          <w:color w:val="0000ff"/>
          <w:sz w:val="48"/>
          <w:szCs w:val="48"/>
        </w:rPr>
      </w:pPr>
      <w:r w:rsidDel="00000000" w:rsidR="00000000" w:rsidRPr="00000000">
        <w:rPr>
          <w:rFonts w:ascii="Acme" w:cs="Acme" w:eastAsia="Acme" w:hAnsi="Acme"/>
          <w:b w:val="1"/>
          <w:color w:val="0000ff"/>
          <w:sz w:val="48"/>
          <w:szCs w:val="48"/>
          <w:rtl w:val="0"/>
        </w:rPr>
        <w:t xml:space="preserve">PTA   READ   ALOUD   DAY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jc w:val="center"/>
        <w:rPr>
          <w:rFonts w:ascii="Acme" w:cs="Acme" w:eastAsia="Acme" w:hAnsi="Acme"/>
          <w:b w:val="1"/>
          <w:color w:val="0000ff"/>
          <w:sz w:val="48"/>
          <w:szCs w:val="48"/>
        </w:rPr>
      </w:pPr>
      <w:r w:rsidDel="00000000" w:rsidR="00000000" w:rsidRPr="00000000">
        <w:rPr>
          <w:rFonts w:ascii="Acme" w:cs="Acme" w:eastAsia="Acme" w:hAnsi="Acme"/>
          <w:b w:val="1"/>
          <w:color w:val="0000ff"/>
          <w:sz w:val="48"/>
          <w:szCs w:val="48"/>
          <w:rtl w:val="0"/>
        </w:rPr>
        <w:t xml:space="preserve">M.C.S. &amp; M.P.C.</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jc w:val="center"/>
        <w:rPr>
          <w:rFonts w:ascii="Acme" w:cs="Acme" w:eastAsia="Acme" w:hAnsi="Acme"/>
          <w:b w:val="1"/>
          <w:color w:val="0000ff"/>
          <w:sz w:val="48"/>
          <w:szCs w:val="48"/>
        </w:rPr>
      </w:pPr>
      <w:r w:rsidDel="00000000" w:rsidR="00000000" w:rsidRPr="00000000">
        <w:rPr>
          <w:rFonts w:ascii="Acme" w:cs="Acme" w:eastAsia="Acme" w:hAnsi="Acme"/>
          <w:b w:val="1"/>
          <w:color w:val="0000ff"/>
          <w:sz w:val="48"/>
          <w:szCs w:val="48"/>
          <w:rtl w:val="0"/>
        </w:rPr>
        <w:t xml:space="preserve">Tuesday, April 7, 2020</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center"/>
        <w:rPr>
          <w:rFonts w:ascii="Acme" w:cs="Acme" w:eastAsia="Acme" w:hAnsi="Acme"/>
          <w:sz w:val="36"/>
          <w:szCs w:val="36"/>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Fonts w:ascii="Acme" w:cs="Acme" w:eastAsia="Acme" w:hAnsi="Acme"/>
          <w:sz w:val="28"/>
          <w:szCs w:val="28"/>
          <w:rtl w:val="0"/>
        </w:rPr>
        <w:t xml:space="preserve">Read Aloud Day will take place on </w:t>
      </w:r>
      <w:r w:rsidDel="00000000" w:rsidR="00000000" w:rsidRPr="00000000">
        <w:rPr>
          <w:rFonts w:ascii="Acme" w:cs="Acme" w:eastAsia="Acme" w:hAnsi="Acme"/>
          <w:b w:val="1"/>
          <w:sz w:val="28"/>
          <w:szCs w:val="28"/>
          <w:rtl w:val="0"/>
        </w:rPr>
        <w:t xml:space="preserve">Tuesday, April 7th.</w:t>
      </w:r>
      <w:r w:rsidDel="00000000" w:rsidR="00000000" w:rsidRPr="00000000">
        <w:rPr>
          <w:rFonts w:ascii="Acme" w:cs="Acme" w:eastAsia="Acme" w:hAnsi="Acme"/>
          <w:sz w:val="28"/>
          <w:szCs w:val="28"/>
          <w:rtl w:val="0"/>
        </w:rPr>
        <w:t xml:space="preserve">  This is a day when parents, family members, teachers &amp; business men &amp; women take time out from their busy schedules to share their passion for reading with MCS &amp; MPC students. There will be 20-minute reading sessions blocked out during the school day.  You can choose to read to one or as many classes as you like!  You will be able to request your child's class or a specific grade level.  The library will have books available or you may bring your own books.  The deadline to sign up to read is </w:t>
      </w:r>
      <w:r w:rsidDel="00000000" w:rsidR="00000000" w:rsidRPr="00000000">
        <w:rPr>
          <w:rFonts w:ascii="Acme" w:cs="Acme" w:eastAsia="Acme" w:hAnsi="Acme"/>
          <w:b w:val="1"/>
          <w:sz w:val="28"/>
          <w:szCs w:val="28"/>
          <w:rtl w:val="0"/>
        </w:rPr>
        <w:t xml:space="preserve"> Monday,  April  1.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Fonts w:ascii="Acme" w:cs="Acme" w:eastAsia="Acme" w:hAnsi="Acme"/>
          <w:sz w:val="28"/>
          <w:szCs w:val="28"/>
          <w:rtl w:val="0"/>
        </w:rPr>
        <w:t xml:space="preserve">To volunteer to read visit the following links, visit the school website or contact Charlene Wolfbrandt at </w:t>
      </w:r>
      <w:hyperlink r:id="rId6">
        <w:r w:rsidDel="00000000" w:rsidR="00000000" w:rsidRPr="00000000">
          <w:rPr>
            <w:rFonts w:ascii="Acme" w:cs="Acme" w:eastAsia="Acme" w:hAnsi="Acme"/>
            <w:color w:val="1155cc"/>
            <w:sz w:val="28"/>
            <w:szCs w:val="28"/>
            <w:u w:val="single"/>
            <w:rtl w:val="0"/>
          </w:rPr>
          <w:t xml:space="preserve">cwolfbrandt@mccsd160.com</w:t>
        </w:r>
      </w:hyperlink>
      <w:r w:rsidDel="00000000" w:rsidR="00000000" w:rsidRPr="00000000">
        <w:rPr>
          <w:rFonts w:ascii="Acme" w:cs="Acme" w:eastAsia="Acme" w:hAnsi="Acme"/>
          <w:sz w:val="28"/>
          <w:szCs w:val="28"/>
          <w:rtl w:val="0"/>
        </w:rPr>
        <w:t xml:space="preserve"> or</w:t>
      </w:r>
      <w:r w:rsidDel="00000000" w:rsidR="00000000" w:rsidRPr="00000000">
        <w:rPr>
          <w:rFonts w:ascii="Acme" w:cs="Acme" w:eastAsia="Acme" w:hAnsi="Acme"/>
          <w:b w:val="1"/>
          <w:sz w:val="28"/>
          <w:szCs w:val="28"/>
          <w:rtl w:val="0"/>
        </w:rPr>
        <w:t xml:space="preserve"> 476-1681 ext. 6050.</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both"/>
        <w:rPr>
          <w:rFonts w:ascii="Acme" w:cs="Acme" w:eastAsia="Acme" w:hAnsi="Acme"/>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Fonts w:ascii="Acme" w:cs="Acme" w:eastAsia="Acme" w:hAnsi="Acme"/>
          <w:b w:val="1"/>
          <w:sz w:val="28"/>
          <w:szCs w:val="28"/>
          <w:rtl w:val="0"/>
        </w:rPr>
        <w:t xml:space="preserve">MCS link:</w:t>
      </w:r>
      <w:r w:rsidDel="00000000" w:rsidR="00000000" w:rsidRPr="00000000">
        <w:rPr>
          <w:rFonts w:ascii="Acme" w:cs="Acme" w:eastAsia="Acme" w:hAnsi="Acme"/>
          <w:b w:val="1"/>
          <w:sz w:val="36"/>
          <w:szCs w:val="36"/>
          <w:rtl w:val="0"/>
        </w:rPr>
        <w:t xml:space="preserve">  </w:t>
      </w:r>
      <w:hyperlink r:id="rId7">
        <w:r w:rsidDel="00000000" w:rsidR="00000000" w:rsidRPr="00000000">
          <w:rPr>
            <w:rFonts w:ascii="Acme" w:cs="Acme" w:eastAsia="Acme" w:hAnsi="Acme"/>
            <w:b w:val="1"/>
            <w:color w:val="1155cc"/>
            <w:sz w:val="28"/>
            <w:szCs w:val="28"/>
            <w:u w:val="single"/>
            <w:rtl w:val="0"/>
          </w:rPr>
          <w:t xml:space="preserve">https://www.signupgenius.com/go/9040F44A5AE23A1FD0-mcsread</w:t>
        </w:r>
      </w:hyperlink>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Fonts w:ascii="Acme" w:cs="Acme" w:eastAsia="Acme" w:hAnsi="Acme"/>
          <w:b w:val="1"/>
          <w:sz w:val="28"/>
          <w:szCs w:val="28"/>
          <w:rtl w:val="0"/>
        </w:rPr>
        <w:t xml:space="preserve">MPC link:  </w:t>
      </w:r>
      <w:hyperlink r:id="rId8">
        <w:r w:rsidDel="00000000" w:rsidR="00000000" w:rsidRPr="00000000">
          <w:rPr>
            <w:rFonts w:ascii="Acme" w:cs="Acme" w:eastAsia="Acme" w:hAnsi="Acme"/>
            <w:b w:val="1"/>
            <w:color w:val="1155cc"/>
            <w:sz w:val="28"/>
            <w:szCs w:val="28"/>
            <w:u w:val="single"/>
            <w:rtl w:val="0"/>
          </w:rPr>
          <w:t xml:space="preserve">https://www.signupgenius.com/go/9040F44A5AE23A1FD0-mpcread</w:t>
        </w:r>
      </w:hyperlink>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jc w:val="both"/>
        <w:rPr>
          <w:rFonts w:ascii="Acme" w:cs="Acme" w:eastAsia="Acme" w:hAnsi="Acme"/>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cm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worlfbrandt@mccsd160.com" TargetMode="External"/><Relationship Id="rId7" Type="http://schemas.openxmlformats.org/officeDocument/2006/relationships/hyperlink" Target="https://www.signupgenius.com/go/9040F44A5AE23A1FD0-mcsread" TargetMode="External"/><Relationship Id="rId8" Type="http://schemas.openxmlformats.org/officeDocument/2006/relationships/hyperlink" Target="https://www.signupgenius.com/go/9040F44A5AE23A1FD0-mpcre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