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Lora" w:cs="Lora" w:eastAsia="Lora" w:hAnsi="Lora"/>
          <w:b w:val="1"/>
          <w:sz w:val="36"/>
          <w:szCs w:val="36"/>
        </w:rPr>
      </w:pPr>
      <w:r w:rsidDel="00000000" w:rsidR="00000000" w:rsidRPr="00000000">
        <w:rPr>
          <w:rFonts w:ascii="Lora" w:cs="Lora" w:eastAsia="Lora" w:hAnsi="Lora"/>
          <w:b w:val="1"/>
          <w:sz w:val="36"/>
          <w:szCs w:val="36"/>
          <w:rtl w:val="0"/>
        </w:rPr>
        <w:t xml:space="preserve">Health Education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Lora" w:cs="Lora" w:eastAsia="Lora" w:hAnsi="Lora"/>
          <w:b w:val="1"/>
          <w:sz w:val="24"/>
          <w:szCs w:val="24"/>
        </w:rPr>
      </w:pPr>
      <w:r w:rsidDel="00000000" w:rsidR="00000000" w:rsidRPr="00000000">
        <w:rPr>
          <w:rFonts w:ascii="Lora" w:cs="Lora" w:eastAsia="Lora" w:hAnsi="Lora"/>
          <w:b w:val="1"/>
          <w:sz w:val="24"/>
          <w:szCs w:val="24"/>
          <w:rtl w:val="0"/>
        </w:rPr>
        <w:t xml:space="preserve">Role of the School Nurse in Health Education for Students and Staff</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Fonts w:ascii="Lora" w:cs="Lora" w:eastAsia="Lora" w:hAnsi="Lora"/>
          <w:sz w:val="24"/>
          <w:szCs w:val="24"/>
          <w:rtl w:val="0"/>
        </w:rPr>
        <w:t xml:space="preserve">The school nurse is a medical resource person, and a teacher in health education.  The nurse will:</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Provide medical/health information that will enable a teacher to understand the health needs of students and other adults.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Provide information that will teach students to become responsible for personal health promotion and maintenance.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Fonts w:ascii="Lora" w:cs="Lora" w:eastAsia="Lora" w:hAnsi="Lora"/>
          <w:sz w:val="24"/>
          <w:szCs w:val="24"/>
          <w:rtl w:val="0"/>
        </w:rPr>
        <w:t xml:space="preserve">Nevada State Law (N.R.S. 389.065) requires instruction on Acquired Immune Deficiency Syndrome, human reproduction system, related communicable diseases and sexual responsibility. The Human Growth and Development Committee share the responsibility for this classroom education.  Audiovisual materials and booklets on HIV/AIDS and Human Sexuality used in class instruction are specified and only these materials may be used.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Fonts w:ascii="Lora" w:cs="Lora" w:eastAsia="Lora" w:hAnsi="Lora"/>
          <w:sz w:val="24"/>
          <w:szCs w:val="24"/>
          <w:rtl w:val="0"/>
        </w:rPr>
        <w:t xml:space="preserve">Parents are provided an opportunity to preview materials used in classroom instruction on AIDS/HIV and Human Sexuality.  The Human Growth and Development Committee is available to discuss course content and answer parent questions.  This parent preview opportunity is arranged at a specific location to accommodate parental participation. A letter informing parents of the date of classroom instruction for their child is sent prior to the class.  Parent permission for student participation in the HIV/AIDS class and the Human Sexuality class must be provided in writing.  Permission forms are included in the parent information letter. Junior and Senior High School students receive HIV/AIDS and Human Sexuality Education in Health Class.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Lora" w:cs="Lora" w:eastAsia="Lora" w:hAnsi="Lora"/>
          <w:b w:val="1"/>
          <w:sz w:val="24"/>
          <w:szCs w:val="24"/>
        </w:rPr>
      </w:pPr>
      <w:r w:rsidDel="00000000" w:rsidR="00000000" w:rsidRPr="00000000">
        <w:rPr>
          <w:rFonts w:ascii="Lora" w:cs="Lora" w:eastAsia="Lora" w:hAnsi="Lora"/>
          <w:b w:val="1"/>
          <w:sz w:val="24"/>
          <w:szCs w:val="24"/>
          <w:rtl w:val="0"/>
        </w:rPr>
        <w:t xml:space="preserve">Role of the School Nurse in Informing Staff of a Student's Health Condition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Lora" w:cs="Lora" w:eastAsia="Lora" w:hAnsi="Lora"/>
          <w:sz w:val="24"/>
          <w:szCs w:val="24"/>
        </w:rPr>
      </w:pPr>
      <w:r w:rsidDel="00000000" w:rsidR="00000000" w:rsidRPr="00000000">
        <w:rPr>
          <w:rFonts w:ascii="Lora" w:cs="Lora" w:eastAsia="Lora" w:hAnsi="Lora"/>
          <w:sz w:val="24"/>
          <w:szCs w:val="24"/>
          <w:rtl w:val="0"/>
        </w:rPr>
        <w:t xml:space="preserve">The school nurse must inform classroom teachers, physical education teachers and coaches of sport activities of the health problems of students entrusted to his/her care.  Health Action Care Plans are shared to provide the teacher/coach with steps to be taken if a student develops an emergency health situation. Bus drivers must be informed of health information on all children who might be at risk during transportation. Health information is confidential and provided only to those on "a need to know basis", the student's teacher (s), coach, bus driver, Code Blue Team, and playground aides.  A master list of names of students with health problems provided to all teachers is unacceptable and violates confidentiality rights of students.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