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346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PROGRAM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Balanced, ongoing assessment is essential to providing an education appropriate to each student.  Systematic collection, interpretation, and application of assessment data are necessary to ensure quality improvement of student achievement, accountability for teaching and learning, and appropriate program review.</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standardized educational achievement tests, the District’s Assessment Program shall reflect use of a variety of assessment methods appropriate to the target and purpose.  These may include common assessments, District assessments, teacher made assessments, instruments supplied by the Board approved textbook companies, diagnostic assessments, tests of learning aptitude, career awareness and aptitude/attitude assessments, portfolios, performance assessments and such tests required by state and federal laws.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assessments shall arise from clearly articulated achievement expectations, serve an instructionally-relevant purpose, utilize proper methodology, sample student achievement in an appropriate manner, and control for all relevant sources of bias and distortion that can lead to inaccurate assessment.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Sections 115.77(lm)(bg)</w:t>
      </w:r>
    </w:p>
    <w:p w:rsidR="00000000" w:rsidDel="00000000" w:rsidP="00000000" w:rsidRDefault="00000000" w:rsidRPr="00000000" w14:paraId="0000000E">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Statutes 118.13; 118.30; 121.02(l)(r) &amp; (s)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PI9, Wisconsin Administrative Code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PI 13</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Individuals with Disabilities Education Act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No Child Left Behind Act of 2001</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 REFERENCES: </w:t>
        <w:tab/>
      </w:r>
      <w:r w:rsidDel="00000000" w:rsidR="00000000" w:rsidRPr="00000000">
        <w:rPr>
          <w:rFonts w:ascii="Times New Roman" w:cs="Times New Roman" w:eastAsia="Times New Roman" w:hAnsi="Times New Roman"/>
          <w:sz w:val="24"/>
          <w:szCs w:val="24"/>
          <w:rtl w:val="0"/>
        </w:rPr>
        <w:t xml:space="preserve">356-Rule Assessment Program Guidelines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345.41   K-8 Grade Advancement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347 Student Records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w:t>
      </w:r>
      <w:r w:rsidDel="00000000" w:rsidR="00000000" w:rsidRPr="00000000">
        <w:rPr>
          <w:rFonts w:ascii="Times New Roman" w:cs="Times New Roman" w:eastAsia="Times New Roman" w:hAnsi="Times New Roman"/>
          <w:sz w:val="24"/>
          <w:szCs w:val="24"/>
          <w:rtl w:val="0"/>
        </w:rPr>
        <w:t xml:space="preserve">:      </w:t>
        <w:tab/>
        <w:t xml:space="preserve">August 27, 1992</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w:t>
      </w:r>
      <w:r w:rsidDel="00000000" w:rsidR="00000000" w:rsidRPr="00000000">
        <w:rPr>
          <w:rFonts w:ascii="Times New Roman" w:cs="Times New Roman" w:eastAsia="Times New Roman" w:hAnsi="Times New Roman"/>
          <w:sz w:val="24"/>
          <w:szCs w:val="24"/>
          <w:rtl w:val="0"/>
        </w:rPr>
        <w:t xml:space="preserve">        </w:t>
        <w:tab/>
        <w:t xml:space="preserve">July 5, 2010, </w:t>
      </w:r>
      <w:r w:rsidDel="00000000" w:rsidR="00000000" w:rsidRPr="00000000">
        <w:rPr>
          <w:rFonts w:ascii="Times New Roman" w:cs="Times New Roman" w:eastAsia="Times New Roman" w:hAnsi="Times New Roman"/>
          <w:sz w:val="24"/>
          <w:szCs w:val="24"/>
          <w:rtl w:val="0"/>
        </w:rPr>
        <w:t xml:space="preserve">August 26, 2019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