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EDUCATIONAL POLICIES OF </w:t>
        <w:tab/>
        <w:tab/>
        <w:tab/>
        <w:tab/>
        <w:tab/>
        <w:t xml:space="preserve">    </w:t>
      </w:r>
      <w:r w:rsidDel="00000000" w:rsidR="00000000" w:rsidRPr="00000000">
        <w:rPr>
          <w:rFonts w:ascii="Times New Roman" w:cs="Times New Roman" w:eastAsia="Times New Roman" w:hAnsi="Times New Roman"/>
          <w:sz w:val="26"/>
          <w:szCs w:val="26"/>
          <w:rtl w:val="0"/>
        </w:rPr>
        <w:t xml:space="preserve">POLICY</w:t>
      </w:r>
      <w:r w:rsidDel="00000000" w:rsidR="00000000" w:rsidRPr="00000000">
        <w:rPr>
          <w:rFonts w:ascii="Times New Roman" w:cs="Times New Roman" w:eastAsia="Times New Roman" w:hAnsi="Times New Roman"/>
          <w:sz w:val="26"/>
          <w:szCs w:val="26"/>
          <w:vertAlign w:val="baseline"/>
          <w:rtl w:val="0"/>
        </w:rPr>
        <w:t xml:space="preserve">:  GBEC</w:t>
      </w:r>
    </w:p>
    <w:p w:rsidR="00000000" w:rsidDel="00000000" w:rsidP="00000000" w:rsidRDefault="00000000" w:rsidRPr="00000000" w14:paraId="00000002">
      <w:pPr>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REGIONAL SCHOOL UNIT NO. 10</w:t>
        <w:tab/>
        <w:tab/>
      </w:r>
      <w:r w:rsidDel="00000000" w:rsidR="00000000" w:rsidRPr="00000000">
        <w:rPr>
          <w:rFonts w:ascii="Times New Roman" w:cs="Times New Roman" w:eastAsia="Times New Roman" w:hAnsi="Times New Roman"/>
          <w:sz w:val="26"/>
          <w:szCs w:val="26"/>
          <w:rtl w:val="0"/>
        </w:rPr>
        <w:t xml:space="preserve">REVISIONS </w:t>
      </w:r>
      <w:r w:rsidDel="00000000" w:rsidR="00000000" w:rsidRPr="00000000">
        <w:rPr>
          <w:rFonts w:ascii="Times New Roman" w:cs="Times New Roman" w:eastAsia="Times New Roman" w:hAnsi="Times New Roman"/>
          <w:sz w:val="26"/>
          <w:szCs w:val="26"/>
          <w:vertAlign w:val="baseline"/>
          <w:rtl w:val="0"/>
        </w:rPr>
        <w:t xml:space="preserve">ADOPTED:  </w:t>
      </w:r>
      <w:r w:rsidDel="00000000" w:rsidR="00000000" w:rsidRPr="00000000">
        <w:rPr>
          <w:rFonts w:ascii="Times New Roman" w:cs="Times New Roman" w:eastAsia="Times New Roman" w:hAnsi="Times New Roman"/>
          <w:sz w:val="26"/>
          <w:szCs w:val="26"/>
          <w:rtl w:val="0"/>
        </w:rPr>
        <w:t xml:space="preserve">7/8/19</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DRUG-FREE WORKPLACE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The School Board recognizes that alcoholism and drug dependency are treatable diseases.  Left untreated, they may result in serious personal </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family</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0"/>
          <w:i w:val="0"/>
          <w:smallCaps w:val="0"/>
          <w:color w:val="000000"/>
          <w:sz w:val="26"/>
          <w:szCs w:val="26"/>
          <w:u w:val="none"/>
          <w:vertAlign w:val="baseline"/>
          <w:rtl w:val="0"/>
        </w:rPr>
        <w:t xml:space="preserve">problems.</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At the same time, the Board is also </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seriously</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concerned about the effects of alcohol and drug dependency upon an employee’s job performance and ability to serve as a role model for our students.</w:t>
      </w:r>
    </w:p>
    <w:p w:rsidR="00000000" w:rsidDel="00000000" w:rsidP="00000000" w:rsidRDefault="00000000" w:rsidRPr="00000000" w14:paraId="00000007">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The Board believes strongly that all employees and students should be able to work and learn in an environment free from alcohol and drug abuse.  Accordingly, the Board expects all employees to report for work and to perform their duties in a manner that does not jeopardize the health, safety and well being of co-workers and students.</w:t>
      </w:r>
    </w:p>
    <w:p w:rsidR="00000000" w:rsidDel="00000000" w:rsidP="00000000" w:rsidRDefault="00000000" w:rsidRPr="00000000" w14:paraId="00000009">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rtl w:val="0"/>
        </w:rPr>
        <w:t xml:space="preserve">N</w:t>
      </w:r>
      <w:r w:rsidDel="00000000" w:rsidR="00000000" w:rsidRPr="00000000">
        <w:rPr>
          <w:rFonts w:ascii="Times New Roman" w:cs="Times New Roman" w:eastAsia="Times New Roman" w:hAnsi="Times New Roman"/>
          <w:sz w:val="26"/>
          <w:szCs w:val="26"/>
          <w:vertAlign w:val="baseline"/>
          <w:rtl w:val="0"/>
        </w:rPr>
        <w:t xml:space="preserve">o employee shall distribute, dispense, possess, use or be under the influence of any alcoholic beverage, malt beverage or fortified wine or other intoxicating liquor.  Nor shall an employee unlawfully manufacture, distribute, dispense, possess, use or be under the influence of </w:t>
      </w:r>
      <w:r w:rsidDel="00000000" w:rsidR="00000000" w:rsidRPr="00000000">
        <w:rPr>
          <w:rFonts w:ascii="Times New Roman" w:cs="Times New Roman" w:eastAsia="Times New Roman" w:hAnsi="Times New Roman"/>
          <w:sz w:val="26"/>
          <w:szCs w:val="26"/>
          <w:rtl w:val="0"/>
        </w:rPr>
        <w:t xml:space="preserve">“bath salts” or other synthetic hallucinogen</w:t>
      </w:r>
      <w:r w:rsidDel="00000000" w:rsidR="00000000" w:rsidRPr="00000000">
        <w:rPr>
          <w:rFonts w:ascii="Times New Roman" w:cs="Times New Roman" w:eastAsia="Times New Roman" w:hAnsi="Times New Roman"/>
          <w:sz w:val="26"/>
          <w:szCs w:val="26"/>
          <w:rtl w:val="0"/>
        </w:rPr>
        <w:t xml:space="preserve"> or of </w:t>
      </w:r>
      <w:r w:rsidDel="00000000" w:rsidR="00000000" w:rsidRPr="00000000">
        <w:rPr>
          <w:rFonts w:ascii="Times New Roman" w:cs="Times New Roman" w:eastAsia="Times New Roman" w:hAnsi="Times New Roman"/>
          <w:sz w:val="26"/>
          <w:szCs w:val="26"/>
          <w:vertAlign w:val="baseline"/>
          <w:rtl w:val="0"/>
        </w:rPr>
        <w:t xml:space="preserve">any narcotic drug, hallucinogenic drug, amphetamine, barbiturate, marijuana, anabolic steroid, or </w:t>
      </w:r>
      <w:r w:rsidDel="00000000" w:rsidR="00000000" w:rsidRPr="00000000">
        <w:rPr>
          <w:rFonts w:ascii="Times New Roman" w:cs="Times New Roman" w:eastAsia="Times New Roman" w:hAnsi="Times New Roman"/>
          <w:sz w:val="26"/>
          <w:szCs w:val="26"/>
          <w:vertAlign w:val="baseline"/>
          <w:rtl w:val="0"/>
        </w:rPr>
        <w:t xml:space="preserve"> any other controlled substance (as defined in schedules I through V of section 202 of the federal Controlled Substance Act [21 USC § 812]; by regulation at 21 CFR, § 1300.11 through 1300.15; and in 17-A MRSA, § 1101)</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26"/>
          <w:szCs w:val="26"/>
          <w:vertAlign w:val="baseline"/>
          <w:rtl w:val="0"/>
        </w:rPr>
        <w:t xml:space="preserve">  </w:t>
      </w:r>
      <w:r w:rsidDel="00000000" w:rsidR="00000000" w:rsidRPr="00000000">
        <w:rPr>
          <w:rFonts w:ascii="Times New Roman" w:cs="Times New Roman" w:eastAsia="Times New Roman" w:hAnsi="Times New Roman"/>
          <w:sz w:val="26"/>
          <w:szCs w:val="26"/>
          <w:rtl w:val="0"/>
        </w:rPr>
        <w:t xml:space="preserve">whether prescribed or not.</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vertAlign w:val="baseline"/>
          <w:rtl w:val="0"/>
        </w:rPr>
        <w:t xml:space="preserve">This applies before, during and after school hours, at school or in any other school system location, defined as follows:</w:t>
      </w:r>
    </w:p>
    <w:p w:rsidR="00000000" w:rsidDel="00000000" w:rsidP="00000000" w:rsidRDefault="00000000" w:rsidRPr="00000000" w14:paraId="0000000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ind w:left="720" w:hanging="72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 xml:space="preserve">“School system location” means in any school building or on any school premises; in any school-owned vehicle or in any other school-approved vehicle used to transports students to and from school or school activities; off school property at any school-sponsored or school-approved activity, event or function, such as a field trip or athletic event, where students are under the jurisdiction of the school unit; or during any period of time such employee is supervising students on behalf of the school system or otherwise engaged in school unit business.</w:t>
      </w:r>
    </w:p>
    <w:p w:rsidR="00000000" w:rsidDel="00000000" w:rsidP="00000000" w:rsidRDefault="00000000" w:rsidRPr="00000000" w14:paraId="0000000D">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Any employee who suspects that he/she may have an alcohol or drug dependency problem is strongly encouraged to contact his/her supervisor to seek voluntary diagnosis and treatment.  The employee will be provided confidential referral services to an outside agency upon request and assisted in determining the extent to which insurance coverage to help pay for such services is available.  All voluntary referrals shall be kept confidential</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ab/>
        <w:tab/>
        <w:tab/>
        <w:tab/>
        <w:tab/>
        <w:tab/>
        <w:tab/>
        <w:tab/>
      </w:r>
    </w:p>
    <w:p w:rsidR="00000000" w:rsidDel="00000000" w:rsidP="00000000" w:rsidRDefault="00000000" w:rsidRPr="00000000" w14:paraId="00000011">
      <w:pPr>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jc w:val="right"/>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Page 1 of </w:t>
      </w:r>
      <w:r w:rsidDel="00000000" w:rsidR="00000000" w:rsidRPr="00000000">
        <w:rPr>
          <w:rFonts w:ascii="Times New Roman" w:cs="Times New Roman" w:eastAsia="Times New Roman" w:hAnsi="Times New Roman"/>
          <w:sz w:val="26"/>
          <w:szCs w:val="26"/>
          <w:rtl w:val="0"/>
        </w:rPr>
        <w:t xml:space="preserve">2</w:t>
      </w:r>
      <w:r w:rsidDel="00000000" w:rsidR="00000000" w:rsidRPr="00000000">
        <w:rPr>
          <w:rtl w:val="0"/>
        </w:rPr>
      </w:r>
    </w:p>
    <w:p w:rsidR="00000000" w:rsidDel="00000000" w:rsidP="00000000" w:rsidRDefault="00000000" w:rsidRPr="00000000" w14:paraId="00000013">
      <w:pPr>
        <w:jc w:val="right"/>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rtl w:val="0"/>
        </w:rPr>
        <w:t xml:space="preserve">POLICY</w:t>
      </w:r>
      <w:r w:rsidDel="00000000" w:rsidR="00000000" w:rsidRPr="00000000">
        <w:rPr>
          <w:rFonts w:ascii="Times New Roman" w:cs="Times New Roman" w:eastAsia="Times New Roman" w:hAnsi="Times New Roman"/>
          <w:sz w:val="26"/>
          <w:szCs w:val="26"/>
          <w:vertAlign w:val="baseline"/>
          <w:rtl w:val="0"/>
        </w:rPr>
        <w:t xml:space="preserve">:  GBEC</w:t>
      </w:r>
    </w:p>
    <w:p w:rsidR="00000000" w:rsidDel="00000000" w:rsidP="00000000" w:rsidRDefault="00000000" w:rsidRPr="00000000" w14:paraId="00000014">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5">
      <w:pPr>
        <w:spacing w:before="4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Any illegal use, possession, furnishing, selling or provision of assistance in obtaining</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“bath salts,”</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vertAlign w:val="baseline"/>
          <w:rtl w:val="0"/>
        </w:rPr>
        <w:t xml:space="preserve">alcoholic beverages or scheduled drugs not covered by the preceding paragraph may, depending upon the circumstances, constitute sufficient grounds for discipline, up to and including dismissal.  Referrals under foregoing paragraphs of this policy will not preclude disciplinary action under this paragraph, depending on the circumstances.</w:t>
      </w:r>
    </w:p>
    <w:p w:rsidR="00000000" w:rsidDel="00000000" w:rsidP="00000000" w:rsidRDefault="00000000" w:rsidRPr="00000000" w14:paraId="00000016">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As provided in the Drug-Free Workplace Act of 1988, any employee is required to notify the school unit of a criminal or civil conviction for a drug violation occurring in the workplace no later than five calendar days after such conviction.  In turn, the Superintendent, within 10 calendar days of learning of such a conviction, is to give written notification to the U.S. Department of Education and to any other federal agency from which the unit receives grant funds.</w:t>
      </w:r>
    </w:p>
    <w:p w:rsidR="00000000" w:rsidDel="00000000" w:rsidP="00000000" w:rsidRDefault="00000000" w:rsidRPr="00000000" w14:paraId="00000018">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Appropriate disciplinary sanctions shall be taken against any employee who violates the terms of this school unit’s drug and alcohol policy, up to and including dismissal.</w:t>
      </w:r>
    </w:p>
    <w:p w:rsidR="00000000" w:rsidDel="00000000" w:rsidP="00000000" w:rsidRDefault="00000000" w:rsidRPr="00000000" w14:paraId="0000001A">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Implementation</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The Superintendent shall be responsible for developing and administering appropriate procedures to implement this policy.</w:t>
      </w:r>
    </w:p>
    <w:p w:rsidR="00000000" w:rsidDel="00000000" w:rsidP="00000000" w:rsidRDefault="00000000" w:rsidRPr="00000000" w14:paraId="0000001E">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Communication</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 copy of this policy is to be given or mailed to all current employees and to new employees at the time of their employment and is to be posted in appropriate locations throughout the school system.</w:t>
      </w:r>
    </w:p>
    <w:p w:rsidR="00000000" w:rsidDel="00000000" w:rsidP="00000000" w:rsidRDefault="00000000" w:rsidRPr="00000000" w14:paraId="00000022">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23">
      <w:pPr>
        <w:tabs>
          <w:tab w:val="left" w:pos="720"/>
          <w:tab w:val="left" w:pos="1440"/>
          <w:tab w:val="left" w:pos="2160"/>
          <w:tab w:val="left" w:pos="2880"/>
        </w:tabs>
        <w:ind w:left="2880" w:hanging="288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Legal Reference:</w:t>
        <w:tab/>
        <w:t xml:space="preserve">20 USC § 7101 et seq.  (Safe and Drug-Free Schools and Communities Act)</w:t>
      </w:r>
    </w:p>
    <w:p w:rsidR="00000000" w:rsidDel="00000000" w:rsidP="00000000" w:rsidRDefault="00000000" w:rsidRPr="00000000" w14:paraId="00000024">
      <w:pPr>
        <w:tabs>
          <w:tab w:val="left" w:pos="720"/>
          <w:tab w:val="left" w:pos="1440"/>
          <w:tab w:val="left" w:pos="2160"/>
          <w:tab w:val="left" w:pos="2880"/>
        </w:tabs>
        <w:ind w:left="2880" w:hanging="288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ab/>
        <w:t xml:space="preserve">21 USC § 812 (Controlled Substances Act)</w:t>
      </w:r>
    </w:p>
    <w:p w:rsidR="00000000" w:rsidDel="00000000" w:rsidP="00000000" w:rsidRDefault="00000000" w:rsidRPr="00000000" w14:paraId="00000025">
      <w:pPr>
        <w:tabs>
          <w:tab w:val="left" w:pos="720"/>
          <w:tab w:val="left" w:pos="1440"/>
          <w:tab w:val="left" w:pos="2160"/>
          <w:tab w:val="left" w:pos="2880"/>
        </w:tabs>
        <w:ind w:left="3600" w:hanging="360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ab/>
        <w:t xml:space="preserve">21 C</w:t>
      </w:r>
      <w:r w:rsidDel="00000000" w:rsidR="00000000" w:rsidRPr="00000000">
        <w:rPr>
          <w:rFonts w:ascii="Times New Roman" w:cs="Times New Roman" w:eastAsia="Times New Roman" w:hAnsi="Times New Roman"/>
          <w:sz w:val="26"/>
          <w:szCs w:val="26"/>
          <w:rtl w:val="0"/>
        </w:rPr>
        <w:t xml:space="preserve">F</w:t>
      </w:r>
      <w:r w:rsidDel="00000000" w:rsidR="00000000" w:rsidRPr="00000000">
        <w:rPr>
          <w:rFonts w:ascii="Times New Roman" w:cs="Times New Roman" w:eastAsia="Times New Roman" w:hAnsi="Times New Roman"/>
          <w:sz w:val="26"/>
          <w:szCs w:val="26"/>
          <w:vertAlign w:val="baseline"/>
          <w:rtl w:val="0"/>
        </w:rPr>
        <w:t xml:space="preserve">R § 1300.11-1300.15</w:t>
      </w:r>
    </w:p>
    <w:p w:rsidR="00000000" w:rsidDel="00000000" w:rsidP="00000000" w:rsidRDefault="00000000" w:rsidRPr="00000000" w14:paraId="00000026">
      <w:pPr>
        <w:tabs>
          <w:tab w:val="left" w:pos="720"/>
          <w:tab w:val="left" w:pos="1440"/>
          <w:tab w:val="left" w:pos="2160"/>
          <w:tab w:val="left" w:pos="2880"/>
        </w:tabs>
        <w:ind w:left="3600" w:hanging="360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ab/>
        <w:t xml:space="preserve">Fed. P.L. 101-226</w:t>
      </w:r>
    </w:p>
    <w:p w:rsidR="00000000" w:rsidDel="00000000" w:rsidP="00000000" w:rsidRDefault="00000000" w:rsidRPr="00000000" w14:paraId="00000027">
      <w:pPr>
        <w:tabs>
          <w:tab w:val="left" w:pos="720"/>
          <w:tab w:val="left" w:pos="1440"/>
          <w:tab w:val="left" w:pos="2160"/>
          <w:tab w:val="left" w:pos="2880"/>
        </w:tabs>
        <w:ind w:left="3600" w:hanging="360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ab/>
        <w:t xml:space="preserve">17-A MRSA § 1101</w:t>
      </w:r>
    </w:p>
    <w:p w:rsidR="00000000" w:rsidDel="00000000" w:rsidP="00000000" w:rsidRDefault="00000000" w:rsidRPr="00000000" w14:paraId="00000028">
      <w:pPr>
        <w:tabs>
          <w:tab w:val="left" w:pos="720"/>
          <w:tab w:val="left" w:pos="1440"/>
          <w:tab w:val="left" w:pos="2160"/>
          <w:tab w:val="left" w:pos="2880"/>
        </w:tabs>
        <w:ind w:left="3600" w:hanging="360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tab/>
      </w:r>
      <w:r w:rsidDel="00000000" w:rsidR="00000000" w:rsidRPr="00000000">
        <w:rPr>
          <w:rFonts w:ascii="Times New Roman" w:cs="Times New Roman" w:eastAsia="Times New Roman" w:hAnsi="Times New Roman"/>
          <w:sz w:val="26"/>
          <w:szCs w:val="26"/>
          <w:rtl w:val="0"/>
        </w:rPr>
        <w:t xml:space="preserve">22 MRSA § 2390-2394</w:t>
      </w:r>
    </w:p>
    <w:p w:rsidR="00000000" w:rsidDel="00000000" w:rsidP="00000000" w:rsidRDefault="00000000" w:rsidRPr="00000000" w14:paraId="00000029">
      <w:pPr>
        <w:tabs>
          <w:tab w:val="left" w:pos="720"/>
          <w:tab w:val="left" w:pos="1440"/>
          <w:tab w:val="left" w:pos="2160"/>
          <w:tab w:val="left" w:pos="2880"/>
        </w:tabs>
        <w:ind w:left="3600" w:hanging="3600"/>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2A">
      <w:pPr>
        <w:tabs>
          <w:tab w:val="left" w:pos="720"/>
          <w:tab w:val="left" w:pos="1440"/>
          <w:tab w:val="left" w:pos="2160"/>
          <w:tab w:val="left" w:pos="2880"/>
        </w:tabs>
        <w:ind w:left="3600" w:hanging="360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Cross Reference:</w:t>
        <w:tab/>
        <w:t xml:space="preserve">JICH - Drug and Alcohol Use by Students</w:t>
      </w:r>
    </w:p>
    <w:p w:rsidR="00000000" w:rsidDel="00000000" w:rsidP="00000000" w:rsidRDefault="00000000" w:rsidRPr="00000000" w14:paraId="0000002B">
      <w:pPr>
        <w:tabs>
          <w:tab w:val="left" w:pos="720"/>
          <w:tab w:val="left" w:pos="1440"/>
          <w:tab w:val="left" w:pos="2160"/>
          <w:tab w:val="left" w:pos="2880"/>
        </w:tabs>
        <w:ind w:left="3600" w:hanging="3600"/>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2C">
      <w:pPr>
        <w:tabs>
          <w:tab w:val="left" w:pos="720"/>
          <w:tab w:val="left" w:pos="1440"/>
          <w:tab w:val="left" w:pos="2160"/>
          <w:tab w:val="left" w:pos="2880"/>
        </w:tabs>
        <w:ind w:left="3600" w:hanging="360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First reading:  </w:t>
        <w:tab/>
        <w:t xml:space="preserve">May 10, 2010</w:t>
      </w:r>
    </w:p>
    <w:p w:rsidR="00000000" w:rsidDel="00000000" w:rsidP="00000000" w:rsidRDefault="00000000" w:rsidRPr="00000000" w14:paraId="0000002D">
      <w:pPr>
        <w:tabs>
          <w:tab w:val="left" w:pos="720"/>
          <w:tab w:val="left" w:pos="1440"/>
          <w:tab w:val="left" w:pos="2160"/>
          <w:tab w:val="left" w:pos="2880"/>
        </w:tabs>
        <w:ind w:left="3600" w:hanging="360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Second reading and adopted:</w:t>
        <w:tab/>
        <w:t xml:space="preserve">May 24, 2010</w:t>
      </w:r>
    </w:p>
    <w:p w:rsidR="00000000" w:rsidDel="00000000" w:rsidP="00000000" w:rsidRDefault="00000000" w:rsidRPr="00000000" w14:paraId="0000002E">
      <w:pPr>
        <w:tabs>
          <w:tab w:val="left" w:pos="720"/>
          <w:tab w:val="left" w:pos="1440"/>
          <w:tab w:val="left" w:pos="2160"/>
          <w:tab w:val="left" w:pos="2880"/>
        </w:tabs>
        <w:ind w:left="3600" w:hanging="360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First reading of revisions:  June 17, 2019</w:t>
      </w:r>
    </w:p>
    <w:p w:rsidR="00000000" w:rsidDel="00000000" w:rsidP="00000000" w:rsidRDefault="00000000" w:rsidRPr="00000000" w14:paraId="0000002F">
      <w:pPr>
        <w:tabs>
          <w:tab w:val="left" w:pos="720"/>
          <w:tab w:val="left" w:pos="1440"/>
          <w:tab w:val="left" w:pos="2160"/>
          <w:tab w:val="left" w:pos="2880"/>
        </w:tabs>
        <w:ind w:left="3600" w:hanging="360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Second reading and adopted: July 8, 2019</w:t>
      </w:r>
    </w:p>
    <w:p w:rsidR="00000000" w:rsidDel="00000000" w:rsidP="00000000" w:rsidRDefault="00000000" w:rsidRPr="00000000" w14:paraId="00000030">
      <w:pPr>
        <w:tabs>
          <w:tab w:val="left" w:pos="720"/>
          <w:tab w:val="left" w:pos="1440"/>
          <w:tab w:val="left" w:pos="2160"/>
          <w:tab w:val="left" w:pos="2880"/>
        </w:tabs>
        <w:ind w:left="3600" w:hanging="360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ab/>
        <w:tab/>
        <w:tab/>
        <w:tab/>
        <w:tab/>
        <w:tab/>
        <w:tab/>
        <w:tab/>
        <w:t xml:space="preserve">Page 2 of  </w:t>
      </w:r>
      <w:r w:rsidDel="00000000" w:rsidR="00000000" w:rsidRPr="00000000">
        <w:rPr>
          <w:rFonts w:ascii="Times New Roman" w:cs="Times New Roman" w:eastAsia="Times New Roman" w:hAnsi="Times New Roman"/>
          <w:sz w:val="26"/>
          <w:szCs w:val="26"/>
          <w:rtl w:val="0"/>
        </w:rPr>
        <w:t xml:space="preserve">2</w:t>
      </w:r>
      <w:r w:rsidDel="00000000" w:rsidR="00000000" w:rsidRPr="00000000">
        <w:rPr>
          <w:rtl w:val="0"/>
        </w:rPr>
      </w:r>
    </w:p>
    <w:sectPr>
      <w:pgSz w:h="15840" w:w="12240"/>
      <w:pgMar w:bottom="720" w:top="720" w:left="180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sz w:val="26"/>
      <w:szCs w:val="26"/>
      <w:vertAlign w:val="baseline"/>
    </w:rPr>
  </w:style>
  <w:style w:type="paragraph" w:styleId="Heading2">
    <w:name w:val="heading 2"/>
    <w:basedOn w:val="Normal"/>
    <w:next w:val="Normal"/>
    <w:pPr>
      <w:keepNext w:val="1"/>
    </w:pPr>
    <w:rPr>
      <w:rFonts w:ascii="Times New Roman" w:cs="Times New Roman" w:eastAsia="Times New Roman" w:hAnsi="Times New Roman"/>
      <w:i w:val="1"/>
      <w:sz w:val="22"/>
      <w:szCs w:val="2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