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POLICIES OF</w:t>
        <w:tab/>
        <w:tab/>
        <w:tab/>
        <w:tab/>
        <w:tab/>
        <w:tab/>
        <w:t xml:space="preserve">           POLICY:  EEACD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before="0" w:line="240" w:lineRule="auto"/>
        <w:ind w:left="0" w:right="9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SCHOOL UNIT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  <w:tab/>
        <w:tab/>
        <w:tab/>
        <w:tab/>
        <w:tab/>
        <w:t xml:space="preserve">       ADOPTED:  5/14/12</w:t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Emergency Evacuation of School Buses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It will be the responsibility of the Director of Buildings, Grounds, and Transportation to assure that all RSU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10 students participate in at least 2 emergency evacuation drills during the school year. The Director shall also be responsible for documentation of student participation and reporting to the State of Maine.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Reference: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Section 081.2 MAINE SCHOOL BUS REGULATIONS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05-071</w:t>
        <w:tab/>
        <w:t xml:space="preserve"> DEPARTMENT OF EDUCATION</w:t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Chapter 81:</w:t>
        <w:tab/>
        <w:t xml:space="preserve">UNIFORM SCHOOL BUS STANDARDS FOR PUPIL TRANSPORTATION IN MAINE</w:t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First reading:  April 23, 2012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Second reading and adopted:  May 14, 2012</w:t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36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nePrin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nePrinter" w:cs="LinePrinter" w:eastAsia="LinePrinter" w:hAnsi="LinePrint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