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EDUCATIONAL POLICIES OF </w:t>
            <w:tab/>
            <w:tab/>
            <w:tab/>
            <w:tab/>
            <w:tab/>
            <w:t xml:space="preserve">      POLICY:  DFEA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REGIONAL SCHOOL UNIT NO. 10</w:t>
            <w:tab/>
            <w:tab/>
            <w:t xml:space="preserve">  REVISIONS ADOPTED:</w:t>
            <w:tab/>
            <w:t xml:space="preserve">  7/8/19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tabs>
              <w:tab w:val="left" w:pos="720"/>
            </w:tabs>
            <w:jc w:val="center"/>
            <w:rPr>
              <w:rFonts w:ascii="Times New Roman" w:cs="Times New Roman" w:eastAsia="Times New Roman" w:hAnsi="Times New Roman"/>
              <w:sz w:val="26"/>
              <w:szCs w:val="26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u w:val="single"/>
              <w:rtl w:val="0"/>
            </w:rPr>
            <w:t xml:space="preserve">GATE RECEIPTS AND ADMISSION TO ATHLETIC EVENTS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Admission to RSU No. 10 regular athletic events shall be charged as follows: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ab/>
            <w:t xml:space="preserve">1.</w:t>
            <w:tab/>
            <w:t xml:space="preserve">Senior citizens – sixty years old or older – Free.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ab/>
            <w:t xml:space="preserve">2.</w:t>
            <w:tab/>
            <w:t xml:space="preserve">Students/Adults – rates determined by the Board of Directors annually.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ab/>
            <w:t xml:space="preserve">3.</w:t>
            <w:tab/>
            <w:t xml:space="preserve">All RSU 10 employees  -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Free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ab/>
            <w:t xml:space="preserve">4.</w:t>
            <w:tab/>
            <w:t xml:space="preserve">Special passes issued by the building principal and/or Superintendent (i.e., student recognition, community support, etc.).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ab/>
            <w:t xml:space="preserve">5.</w:t>
            <w:tab/>
            <w:t xml:space="preserve">Board of Directors – Free.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ab/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Family and season pass rates as determined by the Board.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tabs>
              <w:tab w:val="left" w:pos="720"/>
              <w:tab w:val="left" w:pos="1440"/>
            </w:tabs>
            <w:ind w:left="1440" w:hanging="144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Everyone eligible for free admission should have an identification card.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To ensure the accounting of gate receipts and admissions, the Building Principal, under the administrative supervision of the Superintendent shall be responsible for depositing gate receipts/admission fees into RSU 10 bank account.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The person responsible for tickets should not be the same person responsible for the counting or handling of money.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Two individuals should handle the money at all times. The number of tickets sold should be recorded in a log. Calculate amount of deposit using ticket prices and the number of tickets sold.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Deposits should be taken by two people to a locked depository in the school building or taken directly to the bank depository that evening once all receipts are in. 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Adopted:</w:t>
            <w:tab/>
            <w:t xml:space="preserve">March 22, 2010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First reading of revision:  February 25, 2013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Second reading and adopted:  March 11, 2013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First reading of revisions:  June 17, 2019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Second reading and adopted:  July 8, 2019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tabs>
              <w:tab w:val="left" w:pos="720"/>
            </w:tabs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1Tptcc64uuiajNfC26miNl+Kg==">AMUW2mVyp2nb/wRTEms39tFSZCvbAE6i3ZIHa1Fc+P1NL351UdH6dB8lDQv+7/2MquQM4aAzMW0Zjy0qnSTRMydRg2vG0M2e5aZeuZ23BgLhBZP74QMW1NOoZ6srTCd0R/NIlt/LxsMs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2019-04-18T18:11:00Z</dcterms:created>
</cp:coreProperties>
</file>