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vertAlign w:val="baseline"/>
        </w:rPr>
      </w:pPr>
      <w:r w:rsidDel="00000000" w:rsidR="00000000" w:rsidRPr="00000000">
        <w:rPr>
          <w:rtl w:val="0"/>
        </w:rPr>
      </w:r>
    </w:p>
    <w:p w:rsidR="00000000" w:rsidDel="00000000" w:rsidP="00000000" w:rsidRDefault="00000000" w:rsidRPr="00000000" w14:paraId="00000002">
      <w:pPr>
        <w:jc w:val="both"/>
        <w:rPr>
          <w:vertAlign w:val="baseline"/>
        </w:rPr>
      </w:pPr>
      <w:r w:rsidDel="00000000" w:rsidR="00000000" w:rsidRPr="00000000">
        <w:rPr>
          <w:vertAlign w:val="baseline"/>
          <w:rtl w:val="0"/>
        </w:rPr>
        <w:t xml:space="preserve">EDUCATIONAL POLICIES OF </w:t>
        <w:tab/>
        <w:tab/>
        <w:tab/>
        <w:tab/>
        <w:tab/>
        <w:tab/>
        <w:t xml:space="preserve">  POLICY:  BBBDA</w:t>
      </w:r>
    </w:p>
    <w:p w:rsidR="00000000" w:rsidDel="00000000" w:rsidP="00000000" w:rsidRDefault="00000000" w:rsidRPr="00000000" w14:paraId="00000003">
      <w:pPr>
        <w:ind w:right="-360"/>
        <w:jc w:val="both"/>
        <w:rPr>
          <w:vertAlign w:val="baseline"/>
        </w:rPr>
      </w:pPr>
      <w:r w:rsidDel="00000000" w:rsidR="00000000" w:rsidRPr="00000000">
        <w:rPr>
          <w:vertAlign w:val="baseline"/>
          <w:rtl w:val="0"/>
        </w:rPr>
        <w:t xml:space="preserve">REGIONAL SCHOOL UNIT NO. 10</w:t>
        <w:tab/>
        <w:tab/>
        <w:tab/>
        <w:tab/>
        <w:t xml:space="preserve">          ADOPTED:  11/6/06</w:t>
      </w:r>
    </w:p>
    <w:p w:rsidR="00000000" w:rsidDel="00000000" w:rsidP="00000000" w:rsidRDefault="00000000" w:rsidRPr="00000000" w14:paraId="00000004">
      <w:pPr>
        <w:jc w:val="both"/>
        <w:rPr>
          <w:vertAlign w:val="baseline"/>
        </w:rPr>
      </w:pP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vertAlign w:val="baseline"/>
          <w:rtl w:val="0"/>
        </w:rPr>
        <w:t xml:space="preserve">BOARD DECLARED VACANCY CAUSED BY ABSENTEEISM</w:t>
      </w:r>
    </w:p>
    <w:p w:rsidR="00000000" w:rsidDel="00000000" w:rsidP="00000000" w:rsidRDefault="00000000" w:rsidRPr="00000000" w14:paraId="00000006">
      <w:pPr>
        <w:jc w:val="cente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When a member must be absent from a regular meeting of the RSU No. 10 Board for any reason, that member shall contact the Superintendent or the Board Chair to be excused from the meeting.</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At the Board meeting when a member is absent, the Board Secretary will enter into the record the name of the person absent as well as the status of the absence (excused or unexcused). If an absence is identified as unexcused, the Board member may appeal his/her status to the full Board at the next scheduled meeting. An excused absence is defined as the Board member notifying the Superintendent or the Board Chair of an intended absence prior to the meeting. Failing to provide prior notice to the Superintendent or the Board Chair of an intended absence would be considered unexcused.</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vertAlign w:val="baseline"/>
          <w:rtl w:val="0"/>
        </w:rPr>
        <w:t xml:space="preserve">After two (2) consecutive unexcused absences from regular scheduled meetings, the member shall be notified in writing by the Board Chair that a third consecutive unexcused absence from a regular scheduled meeting will constitute cause for the Board to consider declaring the person’s seat on the Board vacant. A copy of this letter will be forwarded to the Town Manager or Town Selectpersons of the Board member’s town.</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vertAlign w:val="baseline"/>
          <w:rtl w:val="0"/>
        </w:rPr>
        <w:t xml:space="preserve">After three consecutive unexcused absences from regular meetings, the Board shall notify said member in writing that the Board will consider declaring his/her seat vacant at the next regular meeting of the Board or at a special meeting called for the purpose of considering this matter. A copy of this letter will be forwarded to the Town Manager or Town Selectpeople of the Board member’s town.</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vertAlign w:val="baseline"/>
          <w:rtl w:val="0"/>
        </w:rPr>
        <w:t xml:space="preserve">At the meeting where the declaration of a vacancy, in accordance with this policy, is being considered, the Board member who is the subject of the action shall be provided the opportunity to present his/her reasons why the Board should not declare a vacancy.</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vertAlign w:val="baseline"/>
          <w:rtl w:val="0"/>
        </w:rPr>
        <w:t xml:space="preserve">Following the deliberation outlined in sections B and C of this policy, the Board shall vote whether or not to declare a vacancy.</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vertAlign w:val="baseline"/>
          <w:rtl w:val="0"/>
        </w:rPr>
        <w:t xml:space="preserve">Should a vacancy be declared in accordance with this policy, the vacancy shall be filled in accordance with the appropriate provisions of MRSA Title 20-A.</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Legal Reference:</w:t>
        <w:tab/>
        <w:t xml:space="preserve">20-A MRSA § 1254</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Adopted:</w:t>
        <w:tab/>
        <w:tab/>
        <w:t xml:space="preserve">1/5/04</w:t>
      </w:r>
    </w:p>
    <w:p w:rsidR="00000000" w:rsidDel="00000000" w:rsidP="00000000" w:rsidRDefault="00000000" w:rsidRPr="00000000" w14:paraId="00000019">
      <w:pPr>
        <w:rPr>
          <w:vertAlign w:val="baseline"/>
        </w:rPr>
      </w:pPr>
      <w:r w:rsidDel="00000000" w:rsidR="00000000" w:rsidRPr="00000000">
        <w:rPr>
          <w:vertAlign w:val="baseline"/>
          <w:rtl w:val="0"/>
        </w:rPr>
        <w:t xml:space="preserve">Revised:</w:t>
        <w:tab/>
        <w:tab/>
        <w:t xml:space="preserve">10/2/06</w:t>
      </w:r>
    </w:p>
    <w:p w:rsidR="00000000" w:rsidDel="00000000" w:rsidP="00000000" w:rsidRDefault="00000000" w:rsidRPr="00000000" w14:paraId="0000001A">
      <w:pPr>
        <w:rPr>
          <w:vertAlign w:val="baseline"/>
        </w:rPr>
      </w:pPr>
      <w:r w:rsidDel="00000000" w:rsidR="00000000" w:rsidRPr="00000000">
        <w:rPr>
          <w:vertAlign w:val="baseline"/>
          <w:rtl w:val="0"/>
        </w:rPr>
        <w:t xml:space="preserve">Revised:</w:t>
        <w:tab/>
        <w:tab/>
        <w:t xml:space="preserve">11/6/06</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