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w:t>
        <w:tab/>
        <w:tab/>
        <w:tab/>
        <w:tab/>
        <w:tab/>
        <w:tab/>
        <w:t xml:space="preserve">      POLICY:  BDF</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ab/>
        <w:t xml:space="preserve">              ADOPTED:  12/4/06</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BOARD ADVISORY COMMITTEES</w:t>
      </w:r>
    </w:p>
    <w:p w:rsidR="00000000" w:rsidDel="00000000" w:rsidP="00000000" w:rsidRDefault="00000000" w:rsidRPr="00000000" w14:paraId="00000005">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may establish advisory committees (also known as Ad Hoc Committees) to perform specific functions. Advisory committees may study particular problems or issues and make reports and/or recommendations to the Board, but may not act for the Board.</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Advisory committees may include individuals who are not elected members of the Board but each advisory committee shall have at least one Board representative.</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will consult with the Superintendent before establishing or dissolving any advisory committee.  The number of members, the composition of each advisory committee, and the selection of members will be determined by the Board, in consultation with the Superintendent based upon the purpose of the committee.</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scope and authority of any advisory committee shall be limited to that assigned to it by the Board. The Board is in no way obligated to follow advisory committee recommendations.</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Unless given a new assignment by the Board, an advisory committee shall be dissolved promptly upon completion of its task. An advisory committee may be dissolved at any time by Board action. No advisory committee shall continue for a prolonged period without a specific assignment.</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to the Board Advisory Committees: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 that the Board’s intent and expectations are clear, each advisory committee shall be informed as to:</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purpose of the committee, the  specific issue(s) for study, and/or the scope of the committee’s activity;</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composition of the committee, including designation of voting and non-voting members, if applicable. The Advisory Committee Chair shall be chosen by the committee, but must be a member of the RSU No. 10 board;</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length of time each member is expected to serve;</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role of the committee as being advisory only;</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resources the Board will provide to assist the committee in completing its task.</w:t>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expectations regarding the committee’s relationship with the Board, the Superintendent and school system personnel.</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ind w:left="72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POLICY:  BDF</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designation of the individual who will be responsible for providing information to the public concerning the committee and its work;</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time and place of the first meeting;</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timeline for progress reports to the Board and/or other activities;</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date on which the Board expects to receive a final report or recommendations and dissolve the committee.</w:t>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advisory committee meetings are open to the public except as may otherwise be provided by law. Committee reports and minutes of advisory committee meetings, if prepared, are public information subject to the Freedom of Access Law.</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Notice of advisory committee meetings hall be provided in a manner consistent with the Board’s policy and practice concerning notification of Board meetings.</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recognizes that any advisory committee mandated by the state law or Department of Education regulations may require deviation from any or all of the provisions of this policy. Any such deviations shall be identified when the Board establishes such a committee and reflected in the Board’s instructions to the committee.</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1 MRSA § 401 et seq.</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ab/>
        <w:t xml:space="preserve">November 20, 1989 (was policy BCF)</w:t>
      </w:r>
    </w:p>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Revised:</w:t>
        <w:tab/>
        <w:tab/>
        <w:t xml:space="preserve">12/4/06</w:t>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