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POLICIES OF</w:t>
        <w:tab/>
        <w:tab/>
        <w:tab/>
        <w:tab/>
        <w:tab/>
        <w:t xml:space="preserve">    </w:t>
        <w:tab/>
        <w:t xml:space="preserve">  POLICY:  BEDFA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SCHOOL UNIT NO. 10</w:t>
        <w:tab/>
        <w:tab/>
        <w:tab/>
        <w:t xml:space="preserve">                      ADOPTED:  2/26/07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abstention is a non-expression and cannot be considered a vote in favor of or against a motion.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member of a public body has the duty to express a choice or preference by voting on the issues, but can legally abstain from doing so when there is a statutory or ethical conflict of interest. Not to vote is to abstain.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Abstentions are intended for situations where a member may have a direct or indirect pecuniary interest in the matter being voted 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 Reference:</w:t>
        <w:tab/>
        <w:t xml:space="preserve">30 MRSA § 2605 et seq.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Cross Reference:</w:t>
        <w:tab/>
        <w:t xml:space="preserve">BCB – Board Member Conflict of Interest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BEDF – Voting Method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Adopted:</w:t>
        <w:tab/>
        <w:tab/>
        <w:t xml:space="preserve">2/26/07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sectPr>
      <w:pgSz w:h="15840" w:w="12240"/>
      <w:pgMar w:bottom="720" w:top="72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