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7D" w:rsidRDefault="00B96578">
      <w:pPr>
        <w:jc w:val="center"/>
        <w:rPr>
          <w:sz w:val="24"/>
          <w:szCs w:val="24"/>
        </w:rPr>
      </w:pPr>
      <w:r>
        <w:rPr>
          <w:sz w:val="24"/>
          <w:szCs w:val="24"/>
        </w:rPr>
        <w:t>05/10/2022 Nemaha Central Baseball</w:t>
      </w:r>
    </w:p>
    <w:p w:rsidR="003E147D" w:rsidRDefault="00B96578">
      <w:pPr>
        <w:jc w:val="center"/>
        <w:rPr>
          <w:sz w:val="24"/>
          <w:szCs w:val="24"/>
        </w:rPr>
      </w:pPr>
      <w:r>
        <w:rPr>
          <w:sz w:val="24"/>
          <w:szCs w:val="24"/>
        </w:rPr>
        <w:t>NCHS, 214 North 11th Street, Seneca, Kansas 66538</w:t>
      </w:r>
    </w:p>
    <w:p w:rsidR="003E147D" w:rsidRDefault="003E147D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Opponent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Marysville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Game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Baseball Double Header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Time/Location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 p.m.  </w:t>
            </w:r>
          </w:p>
          <w:p w:rsidR="003E147D" w:rsidRDefault="00B965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Swisher Field:  1600 Community Drive, Seneca, Kansas 66538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7 Guidelines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pStyle w:val="Heading3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BIG SEVEN LEAGUE BASEBALL GUIDELINES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The BSB fields shall be marked as prescribed by the KSHSAA rulebook.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home team shall take infield warm-up first and the visiting team second. The officials meeting will not start until both teams are in the dugout.  The home team will not return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the  field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until the conclusion of the officials meetings.  (Approved 20</w:t>
            </w:r>
            <w:r>
              <w:rPr>
                <w:rFonts w:ascii="Times New Roman" w:eastAsia="Times New Roman" w:hAnsi="Times New Roman" w:cs="Times New Roman"/>
              </w:rPr>
              <w:t>12)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Each Coach shall submit a starting lineup to the opposing Coach prior to the start of the game.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There will be a maximum of 15 minutes allowed for a break between the first and second games of a doubleheader. 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JV Baseball games will be limited to an hou</w:t>
            </w:r>
            <w:r>
              <w:rPr>
                <w:rFonts w:ascii="Times New Roman" w:eastAsia="Times New Roman" w:hAnsi="Times New Roman" w:cs="Times New Roman"/>
              </w:rPr>
              <w:t>r and 45 minute time limit.</w:t>
            </w:r>
          </w:p>
          <w:p w:rsidR="003E147D" w:rsidRDefault="00B96578">
            <w:pPr>
              <w:numPr>
                <w:ilvl w:val="1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visiting team needs to bring game balls if they wish to keep any home run balls their team hits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 Room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Not available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Parking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Swisher Field Parking Lot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Prices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None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 Available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Yes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in Charge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Jessica Koch, Athletic Director:  785-336-1174</w:t>
            </w:r>
          </w:p>
          <w:p w:rsidR="003E147D" w:rsidRDefault="00B96578">
            <w:pPr>
              <w:widowControl w:val="0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Ben </w:t>
            </w:r>
            <w:proofErr w:type="spellStart"/>
            <w:r>
              <w:rPr>
                <w:color w:val="333333"/>
                <w:sz w:val="24"/>
                <w:szCs w:val="24"/>
              </w:rPr>
              <w:t>Scism</w:t>
            </w:r>
            <w:proofErr w:type="spellEnd"/>
            <w:r>
              <w:rPr>
                <w:color w:val="333333"/>
                <w:sz w:val="24"/>
                <w:szCs w:val="24"/>
              </w:rPr>
              <w:t>, Principal:  785-294-0536</w:t>
            </w:r>
          </w:p>
        </w:tc>
      </w:tr>
      <w:tr w:rsidR="003E147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EAP</w:t>
              </w:r>
            </w:hyperlink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The Storm shelter is located either at NVCCH or at NCHS</w:t>
            </w:r>
          </w:p>
          <w:p w:rsidR="003E147D" w:rsidRDefault="00B9657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The AED is located in the coaches’ equipment ro</w:t>
            </w:r>
            <w:r>
              <w:rPr>
                <w:color w:val="333333"/>
                <w:sz w:val="24"/>
                <w:szCs w:val="24"/>
              </w:rPr>
              <w:t>om</w:t>
            </w:r>
          </w:p>
          <w:p w:rsidR="003E147D" w:rsidRDefault="00B9657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 Blood Borne Pathogen kit is located in the coaches’ equipment room</w:t>
            </w:r>
            <w:r>
              <w:rPr>
                <w:color w:val="333333"/>
                <w:sz w:val="24"/>
                <w:szCs w:val="24"/>
              </w:rPr>
              <w:tab/>
            </w:r>
          </w:p>
        </w:tc>
      </w:tr>
    </w:tbl>
    <w:p w:rsidR="003E147D" w:rsidRDefault="003E147D">
      <w:pPr>
        <w:tabs>
          <w:tab w:val="left" w:pos="5933"/>
        </w:tabs>
        <w:spacing w:line="240" w:lineRule="auto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560"/>
      </w:tblGrid>
      <w:tr w:rsidR="003E147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rowd Size/Limits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Fans will not be limited at NC </w:t>
            </w:r>
          </w:p>
        </w:tc>
      </w:tr>
      <w:tr w:rsidR="003E147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47D" w:rsidRDefault="00B965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Worn at the discretion of the individual</w:t>
            </w:r>
          </w:p>
        </w:tc>
      </w:tr>
    </w:tbl>
    <w:p w:rsidR="003E147D" w:rsidRDefault="003E147D">
      <w:pPr>
        <w:tabs>
          <w:tab w:val="left" w:pos="5933"/>
        </w:tabs>
        <w:spacing w:line="240" w:lineRule="auto"/>
        <w:rPr>
          <w:b/>
          <w:sz w:val="24"/>
          <w:szCs w:val="24"/>
        </w:rPr>
      </w:pPr>
    </w:p>
    <w:sectPr w:rsidR="003E14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87F"/>
    <w:multiLevelType w:val="multilevel"/>
    <w:tmpl w:val="00E4A4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F735FF"/>
    <w:multiLevelType w:val="multilevel"/>
    <w:tmpl w:val="4BEE4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3B29D0"/>
    <w:multiLevelType w:val="multilevel"/>
    <w:tmpl w:val="907E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C6571"/>
    <w:multiLevelType w:val="multilevel"/>
    <w:tmpl w:val="E89C5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C820F3"/>
    <w:multiLevelType w:val="multilevel"/>
    <w:tmpl w:val="78C469B2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34836"/>
    <w:multiLevelType w:val="multilevel"/>
    <w:tmpl w:val="EE443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103AEC"/>
    <w:multiLevelType w:val="multilevel"/>
    <w:tmpl w:val="67663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2D3662"/>
    <w:multiLevelType w:val="multilevel"/>
    <w:tmpl w:val="19E25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D"/>
    <w:rsid w:val="003E147D"/>
    <w:rsid w:val="00B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7FA"/>
  <w15:docId w15:val="{1B1F4FDF-351A-4241-A785-DB6A114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PPBoE5OBifp3I0Q7X_tvRl4YI1PjFUr/edit?usp=sharing&amp;ouid=115983977681761758586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Schmelzle</dc:creator>
  <cp:lastModifiedBy>Michelle Schmelzle</cp:lastModifiedBy>
  <cp:revision>2</cp:revision>
  <dcterms:created xsi:type="dcterms:W3CDTF">2022-05-05T12:36:00Z</dcterms:created>
  <dcterms:modified xsi:type="dcterms:W3CDTF">2022-05-05T12:36:00Z</dcterms:modified>
</cp:coreProperties>
</file>