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DD" w:rsidRDefault="00392FDD">
      <w:pPr>
        <w:ind w:right="-108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392FDD" w:rsidRDefault="00462C16">
      <w:pPr>
        <w:ind w:right="-10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jc w:val="center"/>
        <w:rPr>
          <w:rFonts w:ascii="Arial" w:eastAsia="Arial" w:hAnsi="Arial" w:cs="Arial"/>
          <w:sz w:val="12"/>
          <w:szCs w:val="12"/>
        </w:rPr>
      </w:pPr>
    </w:p>
    <w:p w:rsidR="00392FDD" w:rsidRDefault="00462C16">
      <w:pPr>
        <w:ind w:right="-630" w:hanging="81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Grade 8 Standards for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The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Number System</w:t>
      </w:r>
    </w:p>
    <w:tbl>
      <w:tblPr>
        <w:tblStyle w:val="a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392FDD">
        <w:tc>
          <w:tcPr>
            <w:tcW w:w="396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070" w:type="dxa"/>
            <w:gridSpan w:val="6"/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Know that there are numbers that are not rational, and approximate them by rational numbers.</w:t>
            </w:r>
          </w:p>
        </w:tc>
      </w:tr>
      <w:tr w:rsidR="00392FDD">
        <w:tc>
          <w:tcPr>
            <w:tcW w:w="396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8.NS.1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</w:t>
            </w:r>
            <w:r>
              <w:rPr>
                <w:rFonts w:ascii="Arial" w:eastAsia="Arial" w:hAnsi="Arial" w:cs="Arial"/>
                <w:sz w:val="22"/>
                <w:szCs w:val="22"/>
              </w:rPr>
              <w:t>y into a rational number.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396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8.NS.2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Use rational approximations of irrational numbers to compare the size of irrational numbers, locate them approximately on a number line diagram, and estimate the value of expressions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e.g. </w:t>
            </w:r>
            <m:oMath>
              <m:sSup>
                <m:sSup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2</m:t>
                  </m:r>
                </m:sup>
              </m:sSup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). For example, for the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approximation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of </w:t>
            </w:r>
            <w:proofErr w:type="gramEnd"/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68</m:t>
              </m:r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show that </w:t>
            </w:r>
            <m:oMath>
              <m:rad>
                <m:radPr>
                  <m:degHide m:val="1"/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68</m:t>
                  </m:r>
                </m:e>
              </m:rad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is between 8 and 9 and closer to 8.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392FDD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392FDD" w:rsidRDefault="00462C1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392FDD" w:rsidRDefault="00462C1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392FDD" w:rsidRDefault="00462C16">
      <w:pPr>
        <w:ind w:hanging="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>Grade 8 Standards for Expressions and Equations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392FDD">
        <w:tc>
          <w:tcPr>
            <w:tcW w:w="414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Work with radicals and integer exponents.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8.EE.1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square root and cube root symbols to represent solutions to equations of the form </w:t>
            </w:r>
            <m:oMath>
              <m:sSup>
                <m:sSup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m:oMath>
              <m:sSup>
                <m:sSup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p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, where p is a positive rational number. Evaluate square roots of whole number perfect squares with solutions between 0 and 15 and cube roots of whole number perfect cubes with solutions between 0 and 5. Know that </w:t>
            </w:r>
            <m:oMath>
              <m:rad>
                <m:radPr>
                  <m:degHide m:val="1"/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2</m:t>
                  </m:r>
                </m:e>
              </m:rad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is irrational.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8.EE.2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Use numbers expressed in the form of a single digit times an integer power of 10 to estimate very large or very small quantities, and to express how many times as much one is than the other.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For example, estimate the population of the United States as </w:t>
            </w:r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3×</m:t>
              </m:r>
              <m:sSup>
                <m:sSup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8</m:t>
                  </m:r>
                </m:sup>
              </m:sSup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and the population of the world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as </w:t>
            </w:r>
            <w:proofErr w:type="gramEnd"/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7×</m:t>
              </m:r>
              <m:sSup>
                <m:sSup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9</m:t>
                  </m:r>
                </m:sup>
              </m:sSup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>, and determine that the world population is more than 20 times larger.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2D2D2C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8.EE.3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Read and write numbers expressed in scientific notation, including problems where both decimal and scientific notation are used.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scientific notation and choose units of appropriate size for measurements of very large or very small quantities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 use millimeters per year for seafloor spreading). Interpret </w:t>
            </w:r>
            <w:r>
              <w:rPr>
                <w:rFonts w:ascii="Arial" w:eastAsia="Arial" w:hAnsi="Arial" w:cs="Arial"/>
                <w:sz w:val="22"/>
                <w:szCs w:val="22"/>
              </w:rPr>
              <w:t>scientific notation that has been generated by technology.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392FDD">
      <w:pPr>
        <w:ind w:right="-1080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392FDD" w:rsidRDefault="00462C1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392FDD" w:rsidRDefault="00462C1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tabs>
          <w:tab w:val="center" w:pos="3735"/>
          <w:tab w:val="right" w:pos="8640"/>
        </w:tabs>
        <w:rPr>
          <w:rFonts w:ascii="Arial" w:eastAsia="Arial" w:hAnsi="Arial" w:cs="Arial"/>
          <w:sz w:val="12"/>
          <w:szCs w:val="12"/>
        </w:rPr>
      </w:pPr>
    </w:p>
    <w:p w:rsidR="00392FDD" w:rsidRDefault="00462C16">
      <w:pPr>
        <w:ind w:hanging="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>Grade 8 Standards for Expressions and Equations</w:t>
      </w:r>
    </w:p>
    <w:tbl>
      <w:tblPr>
        <w:tblStyle w:val="a1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392FDD">
        <w:tc>
          <w:tcPr>
            <w:tcW w:w="414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Understand the connections between proportional relationships, lines, and linear equations.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8.EE.4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Graph proportional relationships, interpreting its unit rate as the slope (m) of the graph. Compare two different proportional relationships represented in different ways.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For example, compare a distance-time graph to a distance-time equation to determine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which of two moving objects has greater speed.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8.EE.5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Use similar triangles to explain why the slope (m) is the same between any two distinct points on a non-vertical line in the coordinate plane and extend to include the use of the slope formula (</w:t>
            </w:r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m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when given two coordinate points (x1, y1) and (x2, y2)).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Generate the equation 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y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mx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for a line through the origin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(proportional)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the equation 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y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mx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+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b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for a line with slope m intercepting the vertical axis at y-intercept b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(not pr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oportional </w:t>
            </w:r>
            <w:proofErr w:type="gram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when </w:t>
            </w:r>
            <w:proofErr w:type="gramEnd"/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b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≠0</m:t>
              </m:r>
            </m:oMath>
            <w:r>
              <w:rPr>
                <w:rFonts w:ascii="Cambria" w:eastAsia="Cambria" w:hAnsi="Cambria" w:cs="Cambria"/>
                <w:i/>
                <w:sz w:val="18"/>
                <w:szCs w:val="18"/>
              </w:rPr>
              <w:t>).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8.EE.6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Describe the relationship between the proportional relationship expressed in 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y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mx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and the non-proportional linear relationship 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y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mx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+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b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as a result of a vertical translation.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Note: be clear with students that all linear relationships have a constant rate of change (slope), but only the special case of proportional relationships (line that goes through the origin) continue to have a </w:t>
            </w:r>
            <w:r>
              <w:rPr>
                <w:rFonts w:ascii="Cambria" w:eastAsia="Cambria" w:hAnsi="Cambria" w:cs="Cambria"/>
                <w:b/>
                <w:i/>
                <w:color w:val="FF0000"/>
                <w:sz w:val="18"/>
                <w:szCs w:val="18"/>
              </w:rPr>
              <w:t>constant of proportionality.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Analyze and solve linear equations and inequalities.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8.EE.7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 xml:space="preserve">Fluently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</w:t>
            </w:r>
            <w:hyperlink r:id="rId4">
              <w:r>
                <w:rPr>
                  <w:rFonts w:ascii="Cambria" w:eastAsia="Cambria" w:hAnsi="Cambria" w:cs="Cambria"/>
                  <w:i/>
                  <w:sz w:val="18"/>
                  <w:szCs w:val="18"/>
                </w:rPr>
                <w:t>efficiently, accurately, and flexibly</w:t>
              </w:r>
            </w:hyperlink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z w:val="22"/>
                <w:szCs w:val="22"/>
              </w:rPr>
              <w:t>solve one-step, two-step, and multi-step linear equations and inequalities in one variable, including situations with the same variable appearing on both sides of the equal sign.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8.EE.7A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Give examples of linear equations in one variable with one sol</w:t>
            </w:r>
            <w:r>
              <w:rPr>
                <w:rFonts w:ascii="Arial" w:eastAsia="Arial" w:hAnsi="Arial" w:cs="Arial"/>
                <w:sz w:val="22"/>
                <w:szCs w:val="22"/>
              </w:rPr>
              <w:t>ution (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x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>), infinitely many solutions (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>), or no solutions (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b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). Show which of these possibilities is the case by successively transforming the given equation into simpler forms, until an equivalent equation of the form 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x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,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,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or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 xml:space="preserve"> 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a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b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res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ults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(where </w:t>
            </w:r>
            <w:proofErr w:type="gramStart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 and</w:t>
            </w:r>
            <w:proofErr w:type="gramEnd"/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b are different numbers).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462C16">
      <w:r>
        <w:br w:type="page"/>
      </w:r>
    </w:p>
    <w:tbl>
      <w:tblPr>
        <w:tblStyle w:val="a2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lastRenderedPageBreak/>
              <w:t>8.EE.7B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Solve linear equations and inequalities with rational number coefficients, including equations/inequalities whose solutions require expanding and/or factoring expressions using the distributive property and collecting like terms.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392FDD">
      <w:pPr>
        <w:rPr>
          <w:rFonts w:ascii="Arial" w:eastAsia="Arial" w:hAnsi="Arial" w:cs="Arial"/>
        </w:rPr>
      </w:pPr>
    </w:p>
    <w:p w:rsidR="00392FDD" w:rsidRDefault="00462C16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p w:rsidR="00392FDD" w:rsidRDefault="00462C16">
      <w:pPr>
        <w:ind w:right="-10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jc w:val="center"/>
        <w:rPr>
          <w:rFonts w:ascii="Arial" w:eastAsia="Arial" w:hAnsi="Arial" w:cs="Arial"/>
          <w:sz w:val="12"/>
          <w:szCs w:val="12"/>
        </w:rPr>
      </w:pPr>
    </w:p>
    <w:p w:rsidR="00392FDD" w:rsidRDefault="00462C16">
      <w:pPr>
        <w:ind w:hanging="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>Grade 8 Standards for Functions</w:t>
      </w:r>
    </w:p>
    <w:tbl>
      <w:tblPr>
        <w:tblStyle w:val="a3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392FDD">
        <w:tc>
          <w:tcPr>
            <w:tcW w:w="414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Define, evaluate, and compare functions.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8.F.1</w:t>
            </w:r>
            <w:proofErr w:type="gram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Explain that a function is a rule that assigns to each input exactly one output. The graph of a function is the set of ordered pairs consisting of an input and the corresponding output.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(Function notation is not required in Grade 8.)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8.F.2</w:t>
            </w:r>
            <w:proofErr w:type="gram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Compare properties of two linear functions represented in a variety of ways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(algebraically, graphically, numerically in tables, or by verbal descriptions). For example, given a linear function represented by a table of values and a linear function represen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ted by an algebraic expression, determine which function has the greater rate of change, the greater y-intercept, or the point of intersection.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8.F.3</w:t>
            </w:r>
            <w:proofErr w:type="gram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Interpret the equation </w:t>
            </w:r>
            <m:oMath>
              <m:r>
                <w:rPr>
                  <w:rFonts w:ascii="Cambria" w:eastAsia="Cambria" w:hAnsi="Cambria" w:cs="Cambria"/>
                  <w:sz w:val="22"/>
                  <w:szCs w:val="22"/>
                </w:rPr>
                <m:t>y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=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mx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+</m:t>
              </m:r>
              <m:r>
                <w:rPr>
                  <w:rFonts w:ascii="Cambria" w:eastAsia="Cambria" w:hAnsi="Cambria" w:cs="Cambria"/>
                  <w:sz w:val="22"/>
                  <w:szCs w:val="22"/>
                </w:rPr>
                <m:t>b</m:t>
              </m:r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as defining a linear function, whose graph is a straight line; give examples of functions that are not linear.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For example, the function </w:t>
            </w:r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A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s</m:t>
                  </m:r>
                </m:e>
                <m:sup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2</m:t>
                  </m:r>
                </m:sup>
              </m:sSup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giving the area of a square as a function of its side length is not linear because its graph contains the point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 (1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,1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), (2,4) and (3,9), which are not on a straight line.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Use functions to model relationships between quantities.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8.F.4</w:t>
            </w:r>
            <w:proofErr w:type="gram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Construct a function to model a linear relationship between two quantities. Determine the rate of change and initial value of the function from a description of a relationship or from two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(x, y)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values, including reading these from a table or from a graph.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Interpret the rate of change and initial value of a linear function in terms of the situation it models, and in terms of its graph or a table of values.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8.F.5</w:t>
            </w:r>
            <w:proofErr w:type="gram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Describe qualitatively the functional relationship between two quantities by analyzing a graph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 where the function is increasing or decreasing, linear or nonlinear). </w:t>
            </w:r>
            <w:r>
              <w:rPr>
                <w:rFonts w:ascii="Arial" w:eastAsia="Arial" w:hAnsi="Arial" w:cs="Arial"/>
                <w:sz w:val="22"/>
                <w:szCs w:val="22"/>
              </w:rPr>
              <w:t>Sketch a graph that exhibits the qualitative features of a function that has been des</w:t>
            </w:r>
            <w:r>
              <w:rPr>
                <w:rFonts w:ascii="Arial" w:eastAsia="Arial" w:hAnsi="Arial" w:cs="Arial"/>
                <w:sz w:val="22"/>
                <w:szCs w:val="22"/>
              </w:rPr>
              <w:t>cribed verbally.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392FDD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392FDD" w:rsidRDefault="00462C1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392FDD" w:rsidRDefault="00462C16">
      <w:pPr>
        <w:ind w:hanging="54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jc w:val="center"/>
        <w:rPr>
          <w:rFonts w:ascii="Arial" w:eastAsia="Arial" w:hAnsi="Arial" w:cs="Arial"/>
          <w:sz w:val="12"/>
          <w:szCs w:val="12"/>
        </w:rPr>
      </w:pPr>
    </w:p>
    <w:p w:rsidR="00392FDD" w:rsidRDefault="00462C16">
      <w:pPr>
        <w:ind w:hanging="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>Grade 8 Standards for Geometry</w:t>
      </w:r>
    </w:p>
    <w:tbl>
      <w:tblPr>
        <w:tblStyle w:val="a4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392FDD">
        <w:tc>
          <w:tcPr>
            <w:tcW w:w="414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Geometric measurement: understand concepts of angle and measure angles.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 xml:space="preserve">: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Recognize angles as geometric shapes that are formed wherever two rays share a common endpoint, and understand concepts of angle measurement: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8.G.1A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 angle is measured with reference to a circle with its center at the common endpoint of the rays, by considering the fraction of the 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circular arc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between the points where the two rays intersect the circle. An angle that turns through </w:t>
            </w:r>
            <m:oMath>
              <m:f>
                <m:fPr>
                  <m:ctrlPr>
                    <w:rPr>
                      <w:rFonts w:ascii="Cambria" w:eastAsia="Cambria" w:hAnsi="Cambria" w:cs="Cambria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  <w:sz w:val="22"/>
                      <w:szCs w:val="22"/>
                    </w:rPr>
                    <m:t>360</m:t>
                  </m:r>
                </m:den>
              </m:f>
            </m:oMath>
            <w:r>
              <w:rPr>
                <w:rFonts w:ascii="Arial" w:eastAsia="Arial" w:hAnsi="Arial" w:cs="Arial"/>
                <w:sz w:val="22"/>
                <w:szCs w:val="22"/>
              </w:rPr>
              <w:t xml:space="preserve"> of a circle is </w:t>
            </w:r>
            <w:r>
              <w:rPr>
                <w:rFonts w:ascii="Arial" w:eastAsia="Arial" w:hAnsi="Arial" w:cs="Arial"/>
                <w:sz w:val="22"/>
                <w:szCs w:val="22"/>
              </w:rPr>
              <w:t>called a “one-degree angle,” and can be used to measure angles.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8.G.1B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 angle that turns through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 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-degree angles is said to have an angle measure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degrees.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8.G.2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Measure angles in whole-number degrees using a protractor. Draw angles of specified measure using a protractor and straight edge.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8.G.3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 xml:space="preserve">Recognize angle measure as additive. When an angle is 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 xml:space="preserve">decomposed </w:t>
            </w:r>
            <w:r>
              <w:rPr>
                <w:rFonts w:ascii="Arial" w:eastAsia="Arial" w:hAnsi="Arial" w:cs="Arial"/>
                <w:sz w:val="22"/>
                <w:szCs w:val="22"/>
              </w:rPr>
              <w:t>into non-overlapping parts, the angle measure of the whole is the sum of the angle measures of the parts. Solve addition and subtraction problems to find unknown angles on a diagram in real world and mathematical problems,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e.g. by using an equation with 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symbol for the unknown angle measure.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2D2D2C"/>
                <w:sz w:val="25"/>
                <w:szCs w:val="25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8.G.4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Use facts about supplementary, complementary, vertical, and adjacent angles in a multi-step problem to write and use them to solve simple equations for an unknown angle in a figure.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8.G.5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bookmarkStart w:id="7" w:name="1t3h5sf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Use informal arguments to establish facts about the angle sum and exterior angle of triangles, about the angles created when parallel lines are cut by a transversal, and the angle-angle criterion for similarity of triangles.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arrange three copi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es of the same triangle so that the sum of the three angles appears to form a line, and give an argument in terms of transversals why this is so.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462C16">
      <w:pPr>
        <w:ind w:hanging="54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jc w:val="center"/>
        <w:rPr>
          <w:rFonts w:ascii="Arial" w:eastAsia="Arial" w:hAnsi="Arial" w:cs="Arial"/>
          <w:sz w:val="12"/>
          <w:szCs w:val="12"/>
        </w:rPr>
      </w:pPr>
    </w:p>
    <w:p w:rsidR="00392FDD" w:rsidRDefault="00462C16">
      <w:pPr>
        <w:ind w:hanging="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>Grade 8 Standards for Geometry</w:t>
      </w:r>
    </w:p>
    <w:tbl>
      <w:tblPr>
        <w:tblStyle w:val="a5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392FDD">
        <w:tc>
          <w:tcPr>
            <w:tcW w:w="414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Geometric measurement: understand concepts of angle and measure angles.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2D2D2C"/>
                <w:sz w:val="25"/>
                <w:szCs w:val="25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8.G.6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bookmarkStart w:id="8" w:name="4d34og8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 xml:space="preserve">Draw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(freehand, with ruler and protractor, and with technology)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geometric shapes with given conditions. Focus on drawing triangles from three measures of angles or sides, noticing when the conditions determine a unique triangle, more than one triangle, or no triangle.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11250" w:type="dxa"/>
            <w:gridSpan w:val="6"/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Understand and apply the Pythagorean Theorem.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rPr>
                <w:rFonts w:ascii="Arial" w:eastAsia="Arial" w:hAnsi="Arial" w:cs="Arial"/>
                <w:color w:val="2D2D2C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8.G.7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Explain a proof of the Pythagorean Theorem and its converse.</w:t>
            </w:r>
          </w:p>
          <w:p w:rsidR="00392FDD" w:rsidRDefault="00392FDD">
            <w:pPr>
              <w:widowControl w:val="0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8.G.8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Apply the Pythagorean Theorem to determine unknown side lengths in right triangles in real-world and mathematical problems in two and three dimensions.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example: Finding the slant height of pyramids and cones.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color w:val="2D2D2C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8.G.9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Apply the Pythagorean Theorem </w:t>
            </w:r>
            <w:r>
              <w:rPr>
                <w:rFonts w:ascii="Arial" w:eastAsia="Arial" w:hAnsi="Arial" w:cs="Arial"/>
                <w:sz w:val="22"/>
                <w:szCs w:val="22"/>
              </w:rPr>
              <w:t>to find the distance between two points in a coordinate system.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392FDD" w:rsidRDefault="00462C16">
            <w:pPr>
              <w:widowControl w:val="0"/>
              <w:jc w:val="center"/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D2D2C"/>
                <w:sz w:val="28"/>
                <w:szCs w:val="28"/>
              </w:rPr>
              <w:t>Solve real-world and mathematical problems involving measurement.</w:t>
            </w: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8.G.10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the formulas or informal reasoning to find the arc length, areas of sectors, surface areas and volumes of pyramids, cones, and spheres.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For example, given a circle with a 60° central angle, students identify the arc length as </w:t>
            </w:r>
            <m:oMath>
              <m:f>
                <m:f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" w:eastAsia="Cambria" w:hAnsi="Cambria" w:cs="Cambria"/>
                  <w:sz w:val="18"/>
                  <w:szCs w:val="18"/>
                </w:rPr>
                <m:t xml:space="preserve"> </m:t>
              </m:r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of the total circumference</w:t>
            </w:r>
          </w:p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m:oMath>
              <m:d>
                <m:d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6</m:t>
                      </m:r>
                    </m:den>
                  </m:f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=</m:t>
                  </m:r>
                  <m:f>
                    <m:fPr>
                      <m:ctrl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60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m:t>360</m:t>
                      </m:r>
                    </m:den>
                  </m:f>
                </m:e>
              </m:d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spacing w:before="60" w:after="60"/>
            </w:pPr>
            <w:bookmarkStart w:id="9" w:name="2s8eyo1" w:colFirst="0" w:colLast="0"/>
            <w:bookmarkEnd w:id="9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8.G.11</w:t>
            </w:r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Investigate the relationship between the formulas of three dimensional geometric shapes;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8.G.11A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Generalize the volume formula for pyramids and cones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V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" w:eastAsia="Cambria" w:hAnsi="Cambria" w:cs="Cambria"/>
                  <w:sz w:val="18"/>
                  <w:szCs w:val="18"/>
                </w:rPr>
                <m:t>B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h</m:t>
              </m:r>
            </m:oMath>
            <w:r>
              <w:rPr>
                <w:rFonts w:ascii="Arial" w:eastAsia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8.G.11B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Generalize surface area formula of pyramids and cones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m:oMath>
              <m:r>
                <w:rPr>
                  <w:rFonts w:ascii="Cambria" w:eastAsia="Cambria" w:hAnsi="Cambria" w:cs="Cambria"/>
                  <w:sz w:val="18"/>
                  <w:szCs w:val="18"/>
                </w:rPr>
                <m:t>SA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=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B</m:t>
              </m:r>
              <m:r>
                <w:rPr>
                  <w:rFonts w:ascii="Cambria" w:eastAsia="Cambria" w:hAnsi="Cambria" w:cs="Cambria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" w:eastAsia="Cambria" w:hAnsi="Cambria" w:cs="Cambria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" w:eastAsia="Cambria" w:hAnsi="Cambria" w:cs="Cambria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" w:eastAsia="Cambria" w:hAnsi="Cambria" w:cs="Cambria"/>
                  <w:sz w:val="18"/>
                  <w:szCs w:val="18"/>
                </w:rPr>
                <m:t>Pl</m:t>
              </m:r>
            </m:oMath>
            <w:r>
              <w:rPr>
                <w:rFonts w:ascii="Cambria" w:eastAsia="Cambria" w:hAnsi="Cambria" w:cs="Cambria"/>
                <w:i/>
                <w:sz w:val="18"/>
                <w:szCs w:val="18"/>
              </w:rPr>
              <w:t>).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14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</w:pPr>
            <w:bookmarkStart w:id="10" w:name="17dp8vu" w:colFirst="0" w:colLast="0"/>
            <w:bookmarkEnd w:id="10"/>
            <w:proofErr w:type="gramStart"/>
            <w:r>
              <w:rPr>
                <w:rFonts w:ascii="Arial" w:eastAsia="Arial" w:hAnsi="Arial" w:cs="Arial"/>
                <w:b/>
                <w:color w:val="205968"/>
                <w:sz w:val="25"/>
                <w:szCs w:val="25"/>
                <w:u w:val="single"/>
              </w:rPr>
              <w:t>8.G.12</w:t>
            </w:r>
            <w:proofErr w:type="gramEnd"/>
            <w:r>
              <w:rPr>
                <w:rFonts w:ascii="Arial" w:eastAsia="Arial" w:hAnsi="Arial" w:cs="Arial"/>
                <w:b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Solve real-world and mathematical problems involving arc length, area of two-dimensional shapes including sectors, volume and surface area of three-dimensional objects including pyramids, cones and spheres.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392FDD">
      <w:pPr>
        <w:rPr>
          <w:rFonts w:ascii="Arial" w:eastAsia="Arial" w:hAnsi="Arial" w:cs="Arial"/>
        </w:rPr>
      </w:pPr>
    </w:p>
    <w:p w:rsidR="00392FDD" w:rsidRDefault="00392FDD">
      <w:pPr>
        <w:rPr>
          <w:rFonts w:ascii="Arial" w:eastAsia="Arial" w:hAnsi="Arial" w:cs="Arial"/>
        </w:rPr>
      </w:pPr>
    </w:p>
    <w:p w:rsidR="00392FDD" w:rsidRDefault="00462C16">
      <w:pPr>
        <w:ind w:right="-108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</w:t>
      </w:r>
    </w:p>
    <w:p w:rsidR="00392FDD" w:rsidRDefault="00462C1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392FDD" w:rsidRDefault="00462C16">
      <w:pPr>
        <w:ind w:right="-10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1" w:name="_GoBack"/>
      <w:bookmarkEnd w:id="1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FOR MATHEMATICS</w:t>
      </w:r>
    </w:p>
    <w:p w:rsidR="00392FDD" w:rsidRDefault="00392FDD">
      <w:pPr>
        <w:jc w:val="center"/>
        <w:rPr>
          <w:rFonts w:ascii="Arial" w:eastAsia="Arial" w:hAnsi="Arial" w:cs="Arial"/>
          <w:sz w:val="16"/>
          <w:szCs w:val="16"/>
        </w:rPr>
      </w:pPr>
    </w:p>
    <w:p w:rsidR="00392FDD" w:rsidRDefault="00462C16">
      <w:pPr>
        <w:ind w:hanging="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>Grade 8 Standards for Statistics and Probability</w:t>
      </w:r>
    </w:p>
    <w:tbl>
      <w:tblPr>
        <w:tblStyle w:val="a6"/>
        <w:tblW w:w="1134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990"/>
        <w:gridCol w:w="1036"/>
        <w:gridCol w:w="1036"/>
        <w:gridCol w:w="1036"/>
        <w:gridCol w:w="3012"/>
      </w:tblGrid>
      <w:tr w:rsidR="00392FDD">
        <w:tc>
          <w:tcPr>
            <w:tcW w:w="4230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392FDD">
        <w:tc>
          <w:tcPr>
            <w:tcW w:w="11340" w:type="dxa"/>
            <w:gridSpan w:val="6"/>
            <w:shd w:val="clear" w:color="auto" w:fill="99CCCC"/>
          </w:tcPr>
          <w:p w:rsidR="00392FDD" w:rsidRDefault="00462C1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Investigate patterns of association in bivariate data.</w:t>
            </w:r>
          </w:p>
        </w:tc>
      </w:tr>
      <w:tr w:rsidR="00392FDD">
        <w:tc>
          <w:tcPr>
            <w:tcW w:w="423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8.SP.1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color w:val="2D2D2C"/>
                <w:sz w:val="26"/>
                <w:szCs w:val="26"/>
              </w:rPr>
              <w:t xml:space="preserve">Construct and interpret scatter plots for bivariate measurement data to investigate patterns of association between two quantities. Describe patterns such as clustering, </w:t>
            </w:r>
            <w:r>
              <w:rPr>
                <w:rFonts w:ascii="Arial" w:eastAsia="Arial" w:hAnsi="Arial" w:cs="Arial"/>
                <w:b/>
                <w:i/>
                <w:color w:val="FF0000"/>
                <w:sz w:val="26"/>
                <w:szCs w:val="26"/>
              </w:rPr>
              <w:t>outliers,</w:t>
            </w:r>
            <w:r>
              <w:rPr>
                <w:rFonts w:ascii="Arial" w:eastAsia="Arial" w:hAnsi="Arial" w:cs="Arial"/>
                <w:color w:val="2D2D2C"/>
                <w:sz w:val="26"/>
                <w:szCs w:val="26"/>
              </w:rPr>
              <w:t xml:space="preserve"> positive or negative association, linear association, and nonlinear association.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230" w:type="dxa"/>
            <w:tcBorders>
              <w:bottom w:val="single" w:sz="4" w:space="0" w:color="000000"/>
            </w:tcBorders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8.SP.2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color w:val="2D2D2C"/>
                <w:sz w:val="26"/>
                <w:szCs w:val="26"/>
              </w:rPr>
              <w:t>Know that straight lines are widely used to model relationships between two quantitative variables. For scatter plots that suggest a linear association, informally fit a straight line, and informally assess the model fit by judging the closeness of the dat</w:t>
            </w:r>
            <w:r>
              <w:rPr>
                <w:rFonts w:ascii="Arial" w:eastAsia="Arial" w:hAnsi="Arial" w:cs="Arial"/>
                <w:color w:val="2D2D2C"/>
                <w:sz w:val="26"/>
                <w:szCs w:val="26"/>
              </w:rPr>
              <w:t>a points to the line.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92FDD">
        <w:tc>
          <w:tcPr>
            <w:tcW w:w="4230" w:type="dxa"/>
          </w:tcPr>
          <w:p w:rsidR="00392FDD" w:rsidRDefault="00462C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bookmarkStart w:id="12" w:name="_3rdcrjn" w:colFirst="0" w:colLast="0"/>
            <w:bookmarkEnd w:id="12"/>
            <w:proofErr w:type="gramStart"/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8.SP.3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color w:val="2D2D2C"/>
                <w:sz w:val="26"/>
                <w:szCs w:val="26"/>
              </w:rPr>
              <w:t>Use the equation of a linear model to solve problems in the context of bivariate measurement data, interpreting the slope and intercept</w:t>
            </w:r>
            <w:r>
              <w:rPr>
                <w:rFonts w:ascii="Arial" w:eastAsia="Arial" w:hAnsi="Arial" w:cs="Arial"/>
                <w:color w:val="2D2D2C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For example, in a linear model for a biology experiment, interpret a slope of 1.5 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hr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as meaning that an additional hour of sunlight each day is associated with an additional 1.5 cm in mature plant height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990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392FDD" w:rsidRDefault="00392FD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392FDD" w:rsidRDefault="00462C16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           </w:t>
      </w:r>
    </w:p>
    <w:p w:rsidR="00392FDD" w:rsidRDefault="00392FDD">
      <w:pPr>
        <w:rPr>
          <w:rFonts w:ascii="Arial" w:eastAsia="Arial" w:hAnsi="Arial" w:cs="Arial"/>
        </w:rPr>
      </w:pPr>
    </w:p>
    <w:p w:rsidR="00392FDD" w:rsidRDefault="00392FDD">
      <w:pPr>
        <w:rPr>
          <w:rFonts w:ascii="Arial" w:eastAsia="Arial" w:hAnsi="Arial" w:cs="Arial"/>
        </w:rPr>
      </w:pPr>
    </w:p>
    <w:sectPr w:rsidR="00392FDD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FDD"/>
    <w:rsid w:val="00392FDD"/>
    <w:rsid w:val="004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6DF1"/>
  <w15:docId w15:val="{AA078220-40F5-42AC-A19F-C2711540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munity.ksde.org/Portals/54/Documents/Standards/Standards_Review/Linked_Files/FLUENCY_IS_MORE_THAN_MERE_SPE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9793</Characters>
  <Application>Microsoft Office Word</Application>
  <DocSecurity>0</DocSecurity>
  <Lines>81</Lines>
  <Paragraphs>22</Paragraphs>
  <ScaleCrop>false</ScaleCrop>
  <Company>Microsoft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2019-02-05T15:17:00Z</dcterms:created>
  <dcterms:modified xsi:type="dcterms:W3CDTF">2019-02-05T15:17:00Z</dcterms:modified>
</cp:coreProperties>
</file>