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D2" w:rsidRPr="000F690E" w:rsidRDefault="00E720D2" w:rsidP="00E720D2">
      <w:pPr>
        <w:tabs>
          <w:tab w:val="left" w:pos="1260"/>
          <w:tab w:val="right" w:pos="9245"/>
        </w:tabs>
        <w:spacing w:after="0" w:line="480" w:lineRule="auto"/>
        <w:jc w:val="both"/>
        <w:rPr>
          <w:rFonts w:ascii="Times New Roman" w:eastAsia="Times New Roman" w:hAnsi="Times New Roman"/>
          <w:b/>
          <w:spacing w:val="28"/>
          <w:szCs w:val="20"/>
        </w:rPr>
      </w:pPr>
      <w:r w:rsidRPr="000F690E">
        <w:rPr>
          <w:rFonts w:ascii="Times New Roman" w:eastAsia="Times New Roman" w:hAnsi="Times New Roman"/>
          <w:b/>
          <w:spacing w:val="28"/>
          <w:szCs w:val="20"/>
        </w:rPr>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spacing w:val="28"/>
          <w:szCs w:val="20"/>
        </w:rPr>
        <w:t xml:space="preserve"> (See GAO, JRB, JQ, and KN)</w:t>
      </w:r>
      <w:r w:rsidRPr="000F690E">
        <w:rPr>
          <w:rFonts w:ascii="Times New Roman" w:eastAsia="Times New Roman" w:hAnsi="Times New Roman"/>
          <w:b/>
          <w:spacing w:val="28"/>
          <w:szCs w:val="20"/>
        </w:rPr>
        <w:tab/>
        <w:t>GAAF</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Definitions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“Campus police officer” means a school security officer designated by the board of education of any school district pursuant to K.S.A. 72-6146, and amendments thereto.</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“Chemical Restraint” means the use of medication to control a student’s violent physical behavior or restrict a student’s freedom of movement.</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“Emergency Safety Intervention” is the use of seclusion or physical restraint, but does not include physical escort or the use of time-out.</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“Incident” means each occurrence of the use of an emergency safety intervention.</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GAAF-2</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“Law enforcement officer” and “police officer” mean a full-time or part-time salaried officer or employee of the state, a county, or a city, whose duties include the prevention or detection of crime and the enforcement of criminal or</w:t>
      </w: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traffic law of this state or any Kansas municipality. This term includes a campus police officer.</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“Legitimate law enforcement purpose” means a goal within the lawful authority of an officer that is to be achieved through methods or conduct condoned by the officer’s appointing authority.</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“Mechanical Restraint” means any device or object used to limit a student’s movement.</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“Parent” means: (1) a natural parent; (2) an adoptive parent; (3) a person acting as a parent as defined in K.S.A. 72-3122(d)(2), and amendments thereto; (4) a legal guardian; (5) an education advocate for a student with an exceptionality; (6) a foster parent, unless the student is a child with an exceptionality; or (7) a student who has reached the age of majority or is an emancipated minor.</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“Physical Escort” means the temporary touching or holding the hand, wrist, arm, shoulder, or back of a student who is acting out for the purpose of inducing the student to walk to a safe location.</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“Physical Restraint” means bodily force used to substantially limit a student’s movement, except that consensual, solicited, or unintentional contact and contact to provide comfort, assistance, or instruction shall not be deemed to be physical restraint.</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GAAF-3</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rPr>
        <w:tab/>
        <w:t>“School resource officer” means a law enforcement officer or police officer employed by a local law enforcement agency who is assigned to a district through an agreement between the local law enforcement agency and the district.</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“Time-out” means a behavioral intervention in which a student is temporarily removed from a learning activity without being secluded.</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b/>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Prohibited Types of Restraint</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All staff members are prohibited from engaging in the following actions with all students:</w:t>
      </w:r>
    </w:p>
    <w:p w:rsidR="00E720D2" w:rsidRPr="000F690E" w:rsidRDefault="00E720D2" w:rsidP="00E720D2">
      <w:pPr>
        <w:numPr>
          <w:ilvl w:val="0"/>
          <w:numId w:val="1"/>
        </w:numPr>
        <w:tabs>
          <w:tab w:val="left" w:pos="1260"/>
          <w:tab w:val="right" w:pos="9245"/>
        </w:tabs>
        <w:spacing w:after="0" w:line="480" w:lineRule="auto"/>
        <w:ind w:left="1260" w:hanging="540"/>
        <w:jc w:val="both"/>
        <w:rPr>
          <w:rFonts w:ascii="Times New Roman" w:eastAsia="Times New Roman" w:hAnsi="Times New Roman"/>
          <w:spacing w:val="28"/>
          <w:szCs w:val="20"/>
        </w:rPr>
      </w:pPr>
      <w:r w:rsidRPr="000F690E">
        <w:rPr>
          <w:rFonts w:ascii="Times New Roman" w:eastAsia="Times New Roman" w:hAnsi="Times New Roman"/>
          <w:spacing w:val="28"/>
          <w:szCs w:val="20"/>
        </w:rPr>
        <w:t>Using face-down (prone) physical restraint;</w:t>
      </w:r>
    </w:p>
    <w:p w:rsidR="00E720D2" w:rsidRPr="000F690E" w:rsidRDefault="00E720D2" w:rsidP="00E720D2">
      <w:pPr>
        <w:numPr>
          <w:ilvl w:val="0"/>
          <w:numId w:val="1"/>
        </w:numPr>
        <w:tabs>
          <w:tab w:val="left" w:pos="1260"/>
          <w:tab w:val="right" w:pos="9245"/>
        </w:tabs>
        <w:spacing w:after="0" w:line="480" w:lineRule="auto"/>
        <w:ind w:left="1260" w:hanging="540"/>
        <w:jc w:val="both"/>
        <w:rPr>
          <w:rFonts w:ascii="Times New Roman" w:eastAsia="Times New Roman" w:hAnsi="Times New Roman"/>
          <w:spacing w:val="28"/>
          <w:szCs w:val="20"/>
        </w:rPr>
      </w:pPr>
      <w:r w:rsidRPr="000F690E">
        <w:rPr>
          <w:rFonts w:ascii="Times New Roman" w:eastAsia="Times New Roman" w:hAnsi="Times New Roman"/>
          <w:spacing w:val="28"/>
          <w:szCs w:val="20"/>
        </w:rPr>
        <w:t>Using face-up (supine) physical restraint;</w:t>
      </w:r>
    </w:p>
    <w:p w:rsidR="00E720D2" w:rsidRPr="000F690E" w:rsidRDefault="00E720D2" w:rsidP="00E720D2">
      <w:pPr>
        <w:numPr>
          <w:ilvl w:val="0"/>
          <w:numId w:val="1"/>
        </w:numPr>
        <w:tabs>
          <w:tab w:val="left" w:pos="1260"/>
          <w:tab w:val="right" w:pos="9245"/>
        </w:tabs>
        <w:spacing w:after="0" w:line="480" w:lineRule="auto"/>
        <w:ind w:left="1260" w:hanging="540"/>
        <w:jc w:val="both"/>
        <w:rPr>
          <w:rFonts w:ascii="Times New Roman" w:eastAsia="Times New Roman" w:hAnsi="Times New Roman"/>
          <w:spacing w:val="28"/>
          <w:szCs w:val="20"/>
        </w:rPr>
      </w:pPr>
      <w:r w:rsidRPr="000F690E">
        <w:rPr>
          <w:rFonts w:ascii="Times New Roman" w:eastAsia="Times New Roman" w:hAnsi="Times New Roman"/>
          <w:spacing w:val="28"/>
          <w:szCs w:val="20"/>
        </w:rPr>
        <w:t>Using physical restraint that obstructs the student’s airway;</w:t>
      </w:r>
    </w:p>
    <w:p w:rsidR="00E720D2" w:rsidRDefault="00E720D2" w:rsidP="00E720D2">
      <w:pPr>
        <w:numPr>
          <w:ilvl w:val="0"/>
          <w:numId w:val="1"/>
        </w:numPr>
        <w:tabs>
          <w:tab w:val="left" w:pos="1260"/>
          <w:tab w:val="right" w:pos="9245"/>
        </w:tabs>
        <w:spacing w:after="0" w:line="480" w:lineRule="auto"/>
        <w:ind w:left="1260" w:hanging="540"/>
        <w:jc w:val="both"/>
        <w:rPr>
          <w:rFonts w:ascii="Times New Roman" w:eastAsia="Times New Roman" w:hAnsi="Times New Roman"/>
          <w:spacing w:val="28"/>
          <w:szCs w:val="20"/>
        </w:rPr>
      </w:pPr>
      <w:r w:rsidRPr="000F690E">
        <w:rPr>
          <w:rFonts w:ascii="Times New Roman" w:eastAsia="Times New Roman" w:hAnsi="Times New Roman"/>
          <w:spacing w:val="28"/>
          <w:szCs w:val="20"/>
        </w:rPr>
        <w:t>Using physical restraint that impacts a student’s primary mode of communication;</w:t>
      </w:r>
    </w:p>
    <w:p w:rsidR="00E720D2" w:rsidRDefault="00E720D2" w:rsidP="00E720D2">
      <w:pPr>
        <w:tabs>
          <w:tab w:val="left" w:pos="1260"/>
          <w:tab w:val="right" w:pos="9245"/>
        </w:tabs>
        <w:spacing w:after="0" w:line="480" w:lineRule="auto"/>
        <w:jc w:val="both"/>
        <w:rPr>
          <w:rFonts w:ascii="Times New Roman" w:eastAsia="Times New Roman" w:hAnsi="Times New Roman"/>
          <w:spacing w:val="28"/>
          <w:szCs w:val="20"/>
        </w:rPr>
      </w:pPr>
    </w:p>
    <w:p w:rsidR="00E720D2" w:rsidRDefault="00E720D2" w:rsidP="00E720D2">
      <w:pPr>
        <w:tabs>
          <w:tab w:val="left" w:pos="1260"/>
          <w:tab w:val="right" w:pos="9245"/>
        </w:tabs>
        <w:spacing w:after="0" w:line="480" w:lineRule="auto"/>
        <w:jc w:val="both"/>
        <w:rPr>
          <w:rFonts w:ascii="Times New Roman" w:eastAsia="Times New Roman" w:hAnsi="Times New Roman"/>
          <w:spacing w:val="28"/>
          <w:szCs w:val="20"/>
        </w:rPr>
      </w:pP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GAAF-4</w:t>
      </w:r>
    </w:p>
    <w:p w:rsidR="00E720D2" w:rsidRPr="000F690E" w:rsidRDefault="00E720D2" w:rsidP="00E720D2">
      <w:pPr>
        <w:numPr>
          <w:ilvl w:val="0"/>
          <w:numId w:val="1"/>
        </w:numPr>
        <w:tabs>
          <w:tab w:val="left" w:pos="1260"/>
          <w:tab w:val="right" w:pos="9245"/>
        </w:tabs>
        <w:spacing w:after="0" w:line="480" w:lineRule="auto"/>
        <w:ind w:left="1260" w:hanging="540"/>
        <w:jc w:val="both"/>
        <w:rPr>
          <w:rFonts w:ascii="Times New Roman" w:eastAsia="Times New Roman" w:hAnsi="Times New Roman"/>
          <w:spacing w:val="28"/>
          <w:szCs w:val="20"/>
        </w:rPr>
      </w:pPr>
      <w:r w:rsidRPr="000F690E">
        <w:rPr>
          <w:rFonts w:ascii="Times New Roman" w:eastAsia="Times New Roman" w:hAnsi="Times New Roman"/>
          <w:spacing w:val="28"/>
          <w:szCs w:val="20"/>
        </w:rPr>
        <w:t>Using chemical restraint, except as prescribed treatments for a student’s medical or psychiatric condition by a person appropriately licensed to issue such treatments; and</w:t>
      </w:r>
    </w:p>
    <w:p w:rsidR="00E720D2" w:rsidRPr="000F690E" w:rsidRDefault="00E720D2" w:rsidP="00E720D2">
      <w:pPr>
        <w:numPr>
          <w:ilvl w:val="0"/>
          <w:numId w:val="1"/>
        </w:numPr>
        <w:tabs>
          <w:tab w:val="left" w:pos="1260"/>
          <w:tab w:val="right" w:pos="9245"/>
        </w:tabs>
        <w:spacing w:after="0" w:line="480" w:lineRule="auto"/>
        <w:ind w:left="1260" w:hanging="540"/>
        <w:jc w:val="both"/>
        <w:rPr>
          <w:rFonts w:ascii="Times New Roman" w:eastAsia="Times New Roman" w:hAnsi="Times New Roman"/>
          <w:spacing w:val="28"/>
          <w:szCs w:val="20"/>
        </w:rPr>
      </w:pPr>
      <w:r w:rsidRPr="000F690E">
        <w:rPr>
          <w:rFonts w:ascii="Times New Roman" w:eastAsia="Times New Roman" w:hAnsi="Times New Roman"/>
          <w:spacing w:val="28"/>
          <w:szCs w:val="20"/>
        </w:rPr>
        <w:t xml:space="preserve">Use of mechanical restraint, </w:t>
      </w:r>
      <w:r w:rsidRPr="000F690E">
        <w:rPr>
          <w:rFonts w:ascii="Times New Roman" w:eastAsia="Times New Roman" w:hAnsi="Times New Roman"/>
          <w:b/>
          <w:i/>
          <w:spacing w:val="28"/>
          <w:szCs w:val="20"/>
        </w:rPr>
        <w:t>except</w:t>
      </w:r>
      <w:r w:rsidRPr="000F690E">
        <w:rPr>
          <w:rFonts w:ascii="Times New Roman" w:eastAsia="Times New Roman" w:hAnsi="Times New Roman"/>
          <w:spacing w:val="28"/>
          <w:szCs w:val="20"/>
        </w:rPr>
        <w:t>:</w:t>
      </w:r>
    </w:p>
    <w:p w:rsidR="00E720D2" w:rsidRPr="000F690E" w:rsidRDefault="00E720D2" w:rsidP="00E720D2">
      <w:pPr>
        <w:numPr>
          <w:ilvl w:val="1"/>
          <w:numId w:val="1"/>
        </w:numPr>
        <w:tabs>
          <w:tab w:val="left" w:pos="1260"/>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Protective or stabilizing devices required by law or used in accordance with an order from a person appropriately licensed to issue the order for the device;</w:t>
      </w:r>
    </w:p>
    <w:p w:rsidR="00E720D2" w:rsidRPr="000F690E" w:rsidRDefault="00E720D2" w:rsidP="00E720D2">
      <w:pPr>
        <w:numPr>
          <w:ilvl w:val="1"/>
          <w:numId w:val="1"/>
        </w:numPr>
        <w:tabs>
          <w:tab w:val="left" w:pos="1260"/>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Any device used by a certified law enforcement officer to carry out law enforcement duties; or</w:t>
      </w:r>
    </w:p>
    <w:p w:rsidR="00E720D2" w:rsidRPr="000F690E" w:rsidRDefault="00E720D2" w:rsidP="00E720D2">
      <w:pPr>
        <w:numPr>
          <w:ilvl w:val="1"/>
          <w:numId w:val="1"/>
        </w:numPr>
        <w:tabs>
          <w:tab w:val="left" w:pos="1260"/>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Seatbelts and other safety equipment when used to secure students during transportation.</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Use of Emergency Safety Interventions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u w:val="single"/>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ESI Restrictions</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Default="00E720D2" w:rsidP="00E720D2">
      <w:pPr>
        <w:tabs>
          <w:tab w:val="left" w:pos="720"/>
          <w:tab w:val="left" w:pos="90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GAAF-5</w:t>
      </w:r>
    </w:p>
    <w:p w:rsidR="00E720D2" w:rsidRPr="000F690E" w:rsidRDefault="00E720D2" w:rsidP="00E720D2">
      <w:pPr>
        <w:tabs>
          <w:tab w:val="left" w:pos="720"/>
          <w:tab w:val="right" w:pos="9245"/>
        </w:tabs>
        <w:spacing w:after="0" w:line="480" w:lineRule="auto"/>
        <w:jc w:val="both"/>
      </w:pPr>
      <w:r w:rsidRPr="000F690E">
        <w:rPr>
          <w:rFonts w:ascii="Times New Roman" w:eastAsia="Times New Roman" w:hAnsi="Times New Roman"/>
          <w:spacing w:val="28"/>
          <w:szCs w:val="20"/>
        </w:rPr>
        <w:tab/>
        <w:t>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w:t>
      </w:r>
      <w:r w:rsidRPr="000F690E">
        <w:t xml:space="preserve"> </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tab/>
      </w:r>
      <w:r w:rsidRPr="000F690E">
        <w:rPr>
          <w:rFonts w:ascii="Times New Roman" w:eastAsia="Times New Roman" w:hAnsi="Times New Roman"/>
          <w:spacing w:val="28"/>
          <w:szCs w:val="20"/>
        </w:rPr>
        <w:t xml:space="preserve">Such written statement shall include an explanation of the student’s diagnosis, a list of any reasons why ESI would put the student in mental or </w:t>
      </w:r>
      <w:r>
        <w:rPr>
          <w:rFonts w:ascii="Times New Roman" w:eastAsia="Times New Roman" w:hAnsi="Times New Roman"/>
          <w:spacing w:val="28"/>
          <w:szCs w:val="20"/>
        </w:rPr>
        <w:t>p</w:t>
      </w:r>
      <w:r w:rsidRPr="000F690E">
        <w:rPr>
          <w:rFonts w:ascii="Times New Roman" w:eastAsia="Times New Roman" w:hAnsi="Times New Roman"/>
          <w:spacing w:val="28"/>
          <w:szCs w:val="20"/>
        </w:rPr>
        <w:t>hysical danger, and any suggested alternatives to ESI. Notwithstanding the provisions of this subsection, a student may be subjected to ESI, if not subjecting the student to ESI would result in significant physical harm to the student or others.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u w:val="single"/>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Use of Seclusion</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When a student is placed in seclusion, a school employee shall be able to see and hear the student at all times.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All seclusion rooms equipped with a locking door shall be designed to ensure that the lock automatically disengages when the school employee viewing the student walks away from the seclusion room, or in case of emergency, such as fire or severe weather.</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A seclusion room shall be a safe place with proportional and similar characteristics as other rooms where students frequent.  Such room shall be free of any condition that could be a danger to the student, well-ventilated, and sufficiently lighted.</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Default="00E720D2" w:rsidP="00E720D2">
      <w:pPr>
        <w:tabs>
          <w:tab w:val="left" w:pos="99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GAAF-6</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Training</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Each school building shall maintain written or electronic documentation regarding the training that was provided and a list of participants, which shall be made available for inspection by the state board of education upon request.</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Notification and Documentation</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w:t>
      </w:r>
    </w:p>
    <w:p w:rsidR="00E720D2" w:rsidRDefault="00E720D2" w:rsidP="00E720D2">
      <w:pPr>
        <w:tabs>
          <w:tab w:val="left" w:pos="99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GAAF-7</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GAAF-8</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u w:val="single"/>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Law Enforcement, School Resource, and Campus Security Officers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u w:val="single"/>
        </w:rPr>
      </w:pPr>
      <w:r w:rsidRPr="000F690E">
        <w:rPr>
          <w:rFonts w:ascii="Times New Roman" w:eastAsia="Times New Roman" w:hAnsi="Times New Roman"/>
          <w:spacing w:val="28"/>
          <w:szCs w:val="20"/>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u w:val="single"/>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Documentation of ESI Incidents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Except as specified above with regard to law enforcement or school resource officer use of emergency safety interventions, each building shall maintain documentation any time ESI is used with a student.  The documentation shall include all of the following:</w:t>
      </w:r>
    </w:p>
    <w:p w:rsidR="00E720D2" w:rsidRPr="000F690E" w:rsidRDefault="00E720D2" w:rsidP="00E720D2">
      <w:pPr>
        <w:numPr>
          <w:ilvl w:val="0"/>
          <w:numId w:val="2"/>
        </w:numPr>
        <w:spacing w:after="0" w:line="480" w:lineRule="auto"/>
        <w:ind w:left="1080"/>
        <w:jc w:val="both"/>
        <w:rPr>
          <w:rFonts w:ascii="Times New Roman" w:eastAsia="Times New Roman" w:hAnsi="Times New Roman"/>
          <w:spacing w:val="28"/>
          <w:szCs w:val="20"/>
        </w:rPr>
      </w:pPr>
      <w:r w:rsidRPr="000F690E">
        <w:rPr>
          <w:rFonts w:ascii="Times New Roman" w:eastAsia="Times New Roman" w:hAnsi="Times New Roman"/>
          <w:spacing w:val="28"/>
          <w:szCs w:val="20"/>
        </w:rPr>
        <w:t>Date and time of the ESI,</w:t>
      </w:r>
    </w:p>
    <w:p w:rsidR="00E720D2" w:rsidRPr="000F690E" w:rsidRDefault="00E720D2" w:rsidP="00E720D2">
      <w:pPr>
        <w:numPr>
          <w:ilvl w:val="0"/>
          <w:numId w:val="2"/>
        </w:numPr>
        <w:spacing w:after="0" w:line="480" w:lineRule="auto"/>
        <w:ind w:left="1080"/>
        <w:jc w:val="both"/>
        <w:rPr>
          <w:rFonts w:ascii="Times New Roman" w:eastAsia="Times New Roman" w:hAnsi="Times New Roman"/>
          <w:spacing w:val="28"/>
          <w:szCs w:val="20"/>
        </w:rPr>
      </w:pPr>
      <w:r w:rsidRPr="000F690E">
        <w:rPr>
          <w:rFonts w:ascii="Times New Roman" w:eastAsia="Times New Roman" w:hAnsi="Times New Roman"/>
          <w:spacing w:val="28"/>
          <w:szCs w:val="20"/>
        </w:rPr>
        <w:t>Type of ESI,</w:t>
      </w:r>
    </w:p>
    <w:p w:rsidR="00E720D2" w:rsidRPr="000F690E" w:rsidRDefault="00E720D2" w:rsidP="00E720D2">
      <w:pPr>
        <w:numPr>
          <w:ilvl w:val="0"/>
          <w:numId w:val="2"/>
        </w:numPr>
        <w:spacing w:after="0" w:line="480" w:lineRule="auto"/>
        <w:ind w:left="1080"/>
        <w:jc w:val="both"/>
        <w:rPr>
          <w:rFonts w:ascii="Times New Roman" w:eastAsia="Times New Roman" w:hAnsi="Times New Roman"/>
          <w:spacing w:val="28"/>
          <w:szCs w:val="20"/>
        </w:rPr>
      </w:pPr>
      <w:r w:rsidRPr="000F690E">
        <w:rPr>
          <w:rFonts w:ascii="Times New Roman" w:eastAsia="Times New Roman" w:hAnsi="Times New Roman"/>
          <w:spacing w:val="28"/>
          <w:szCs w:val="20"/>
        </w:rPr>
        <w:t xml:space="preserve">Length of time the ESI was used, </w:t>
      </w:r>
    </w:p>
    <w:p w:rsidR="00E720D2" w:rsidRPr="000F690E" w:rsidRDefault="00E720D2" w:rsidP="00E720D2">
      <w:pPr>
        <w:numPr>
          <w:ilvl w:val="0"/>
          <w:numId w:val="2"/>
        </w:numPr>
        <w:spacing w:after="0" w:line="480" w:lineRule="auto"/>
        <w:ind w:left="1080"/>
        <w:jc w:val="both"/>
        <w:rPr>
          <w:rFonts w:ascii="Times New Roman" w:eastAsia="Times New Roman" w:hAnsi="Times New Roman"/>
          <w:spacing w:val="28"/>
          <w:szCs w:val="20"/>
        </w:rPr>
      </w:pPr>
      <w:r w:rsidRPr="000F690E">
        <w:rPr>
          <w:rFonts w:ascii="Times New Roman" w:eastAsia="Times New Roman" w:hAnsi="Times New Roman"/>
          <w:spacing w:val="28"/>
          <w:szCs w:val="20"/>
        </w:rPr>
        <w:t>School personnel who participated in or supervised the ESI,</w:t>
      </w:r>
    </w:p>
    <w:p w:rsidR="00E720D2" w:rsidRDefault="00E720D2" w:rsidP="00E720D2">
      <w:pPr>
        <w:numPr>
          <w:ilvl w:val="0"/>
          <w:numId w:val="2"/>
        </w:numPr>
        <w:spacing w:after="0" w:line="480" w:lineRule="auto"/>
        <w:ind w:left="1080"/>
        <w:jc w:val="both"/>
        <w:rPr>
          <w:rFonts w:ascii="Times New Roman" w:eastAsia="Times New Roman" w:hAnsi="Times New Roman"/>
          <w:spacing w:val="28"/>
          <w:szCs w:val="20"/>
        </w:rPr>
      </w:pPr>
      <w:r w:rsidRPr="000F690E">
        <w:rPr>
          <w:rFonts w:ascii="Times New Roman" w:eastAsia="Times New Roman" w:hAnsi="Times New Roman"/>
          <w:spacing w:val="28"/>
          <w:szCs w:val="20"/>
        </w:rPr>
        <w:t xml:space="preserve">Whether the student had an individualized education program at the time of the incident, </w:t>
      </w:r>
    </w:p>
    <w:p w:rsidR="00E720D2" w:rsidRPr="000F690E" w:rsidRDefault="00E720D2" w:rsidP="00E720D2">
      <w:pPr>
        <w:pStyle w:val="ListParagraph"/>
        <w:tabs>
          <w:tab w:val="left" w:pos="900"/>
          <w:tab w:val="right" w:pos="9180"/>
        </w:tabs>
        <w:spacing w:after="0" w:line="480" w:lineRule="auto"/>
        <w:ind w:left="0"/>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GAAF-9</w:t>
      </w:r>
    </w:p>
    <w:p w:rsidR="00E720D2" w:rsidRPr="000F690E" w:rsidRDefault="00E720D2" w:rsidP="00E720D2">
      <w:pPr>
        <w:numPr>
          <w:ilvl w:val="0"/>
          <w:numId w:val="2"/>
        </w:numPr>
        <w:spacing w:after="0" w:line="480" w:lineRule="auto"/>
        <w:ind w:left="1080"/>
        <w:jc w:val="both"/>
        <w:rPr>
          <w:rFonts w:ascii="Times New Roman" w:eastAsia="Times New Roman" w:hAnsi="Times New Roman"/>
          <w:spacing w:val="28"/>
          <w:szCs w:val="20"/>
        </w:rPr>
      </w:pPr>
      <w:r w:rsidRPr="000F690E">
        <w:rPr>
          <w:rFonts w:ascii="Times New Roman" w:eastAsia="Times New Roman" w:hAnsi="Times New Roman"/>
          <w:spacing w:val="28"/>
          <w:szCs w:val="20"/>
        </w:rPr>
        <w:t xml:space="preserve">Whether the student had a section 504 plan at the time of the incident, and </w:t>
      </w:r>
    </w:p>
    <w:p w:rsidR="00E720D2" w:rsidRPr="000F690E" w:rsidRDefault="00E720D2" w:rsidP="00E720D2">
      <w:pPr>
        <w:numPr>
          <w:ilvl w:val="0"/>
          <w:numId w:val="2"/>
        </w:numPr>
        <w:spacing w:after="0" w:line="480" w:lineRule="auto"/>
        <w:ind w:left="1080"/>
        <w:jc w:val="both"/>
        <w:rPr>
          <w:rFonts w:ascii="Times New Roman" w:eastAsia="Times New Roman" w:hAnsi="Times New Roman"/>
          <w:spacing w:val="28"/>
          <w:szCs w:val="20"/>
        </w:rPr>
      </w:pPr>
      <w:r w:rsidRPr="000F690E">
        <w:rPr>
          <w:rFonts w:ascii="Times New Roman" w:eastAsia="Times New Roman" w:hAnsi="Times New Roman"/>
          <w:spacing w:val="28"/>
          <w:szCs w:val="20"/>
        </w:rPr>
        <w:t>Whether the student had a behavior intervention plan at the time of the incident.</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Reporting Data</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District administration shall report ESI data to the state department of education as required.</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u w:val="single"/>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Parent Right to Meeting on ESI Use</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E720D2" w:rsidRDefault="00E720D2" w:rsidP="00E720D2">
      <w:pPr>
        <w:tabs>
          <w:tab w:val="left" w:pos="720"/>
          <w:tab w:val="left" w:pos="99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GAAF-10</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p>
    <w:p w:rsidR="00E720D2" w:rsidRPr="000F690E" w:rsidRDefault="00E720D2" w:rsidP="00E720D2">
      <w:pPr>
        <w:tabs>
          <w:tab w:val="left" w:pos="99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GAAF-11</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r>
      <w:r w:rsidRPr="000F690E">
        <w:rPr>
          <w:rFonts w:ascii="Times New Roman" w:eastAsia="Times New Roman" w:hAnsi="Times New Roman"/>
          <w:spacing w:val="28"/>
          <w:szCs w:val="20"/>
          <w:u w:val="single"/>
        </w:rPr>
        <w:t>Local Dispute Resolution Process</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If a parent believes that an emergency safety intervention has been used on the parent’s child in violation of state law or board policy, the parent may file a complaint as specified below.</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E720D2"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w:t>
      </w:r>
    </w:p>
    <w:p w:rsidR="00E720D2" w:rsidRPr="000F690E" w:rsidRDefault="00E720D2" w:rsidP="00E720D2">
      <w:pPr>
        <w:tabs>
          <w:tab w:val="left" w:pos="90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b/>
          <w:spacing w:val="28"/>
          <w:szCs w:val="20"/>
        </w:rPr>
        <w:lastRenderedPageBreak/>
        <w:t>GAAF</w:t>
      </w:r>
      <w:r w:rsidRPr="000F690E">
        <w:rPr>
          <w:rFonts w:ascii="Times New Roman" w:eastAsia="Times New Roman" w:hAnsi="Times New Roman"/>
          <w:b/>
          <w:spacing w:val="28"/>
          <w:szCs w:val="20"/>
        </w:rPr>
        <w:tab/>
      </w:r>
      <w:r w:rsidRPr="000F690E">
        <w:rPr>
          <w:rFonts w:ascii="Times New Roman" w:eastAsia="Times New Roman" w:hAnsi="Times New Roman"/>
          <w:b/>
          <w:spacing w:val="28"/>
          <w:szCs w:val="20"/>
          <w:u w:val="single"/>
        </w:rPr>
        <w:t>Emergency Safety Interventions</w:t>
      </w:r>
      <w:r w:rsidRPr="000F690E">
        <w:rPr>
          <w:rFonts w:ascii="Times New Roman" w:eastAsia="Times New Roman" w:hAnsi="Times New Roman"/>
          <w:b/>
          <w:spacing w:val="28"/>
          <w:szCs w:val="20"/>
        </w:rPr>
        <w:tab/>
        <w:t>GAAF-12</w:t>
      </w: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the findings of fact and recommended corrective action, if any, to the board in executive session.</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Any such investigation must be completed within thirty (30) days of receipt of the formal written complaint by the board clerk and superintendent.  On or before the 30</w:t>
      </w:r>
      <w:r w:rsidRPr="000F690E">
        <w:rPr>
          <w:rFonts w:ascii="Times New Roman" w:eastAsia="Times New Roman" w:hAnsi="Times New Roman"/>
          <w:spacing w:val="28"/>
          <w:szCs w:val="20"/>
          <w:vertAlign w:val="superscript"/>
        </w:rPr>
        <w:t>th</w:t>
      </w:r>
      <w:r w:rsidRPr="000F690E">
        <w:rPr>
          <w:rFonts w:ascii="Times New Roman" w:eastAsia="Times New Roman" w:hAnsi="Times New Roman"/>
          <w:spacing w:val="28"/>
          <w:szCs w:val="20"/>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rsidR="00E720D2" w:rsidRPr="000F690E" w:rsidRDefault="00E720D2" w:rsidP="00E720D2">
      <w:pPr>
        <w:tabs>
          <w:tab w:val="left" w:pos="72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ab/>
        <w:t>If desired, a parent may file a complaint under the state board of education administrative review process within thirty (30) days from the date a final decision is issued pursuant to the local dispute resolution process.</w:t>
      </w: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 xml:space="preserve">Approved:  </w:t>
      </w:r>
      <w:r>
        <w:rPr>
          <w:rFonts w:ascii="Times New Roman" w:eastAsia="Times New Roman" w:hAnsi="Times New Roman"/>
          <w:spacing w:val="28"/>
          <w:szCs w:val="20"/>
        </w:rPr>
        <w:t>USD 223 02/19/2019</w:t>
      </w:r>
    </w:p>
    <w:p w:rsidR="00E720D2" w:rsidRPr="000F690E" w:rsidRDefault="00E720D2" w:rsidP="00E720D2">
      <w:pPr>
        <w:tabs>
          <w:tab w:val="left" w:pos="1260"/>
          <w:tab w:val="right" w:pos="9245"/>
        </w:tabs>
        <w:spacing w:after="0" w:line="480" w:lineRule="auto"/>
        <w:jc w:val="both"/>
        <w:rPr>
          <w:rFonts w:ascii="Times New Roman" w:eastAsia="Times New Roman" w:hAnsi="Times New Roman"/>
          <w:spacing w:val="28"/>
          <w:szCs w:val="20"/>
        </w:rPr>
      </w:pPr>
      <w:r w:rsidRPr="000F690E">
        <w:rPr>
          <w:rFonts w:ascii="Times New Roman" w:eastAsia="Times New Roman" w:hAnsi="Times New Roman"/>
          <w:spacing w:val="28"/>
          <w:szCs w:val="20"/>
        </w:rPr>
        <w:t>KASB Recommendation – 6/13; 12/13; 6/15; 6/16; 6/18; 12/18</w:t>
      </w:r>
    </w:p>
    <w:p w:rsidR="00590393" w:rsidRDefault="00E720D2"/>
    <w:sectPr w:rsidR="005903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D2" w:rsidRDefault="00E720D2" w:rsidP="00E720D2">
      <w:pPr>
        <w:spacing w:after="0" w:line="240" w:lineRule="auto"/>
      </w:pPr>
      <w:r>
        <w:separator/>
      </w:r>
    </w:p>
  </w:endnote>
  <w:endnote w:type="continuationSeparator" w:id="0">
    <w:p w:rsidR="00E720D2" w:rsidRDefault="00E720D2" w:rsidP="00E7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2" w:rsidRDefault="00E720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2" w:rsidRPr="008C079C" w:rsidRDefault="00E720D2" w:rsidP="00E720D2">
    <w:pPr>
      <w:pStyle w:val="Footer"/>
      <w:rPr>
        <w:rFonts w:ascii="Times New Roman" w:hAnsi="Times New Roman"/>
        <w:sz w:val="16"/>
      </w:rPr>
    </w:pPr>
    <w:r w:rsidRPr="008C079C">
      <w:rPr>
        <w:rFonts w:ascii="Times New Roman" w:hAnsi="Times New Roman"/>
        <w:sz w:val="16"/>
      </w:rPr>
      <w:t xml:space="preserve">©KASB. </w:t>
    </w:r>
    <w:r w:rsidRPr="008C079C">
      <w:rPr>
        <w:rFonts w:ascii="Times New Roman" w:hAnsi="Times New Roman"/>
        <w:sz w:val="16"/>
      </w:rPr>
      <w:t xml:space="preserve">This material may be reproduced for use in USD </w:t>
    </w:r>
    <w:r>
      <w:rPr>
        <w:rFonts w:ascii="Times New Roman" w:hAnsi="Times New Roman"/>
        <w:sz w:val="16"/>
      </w:rPr>
      <w:t>223</w:t>
    </w:r>
    <w:bookmarkStart w:id="0" w:name="_GoBack"/>
    <w:bookmarkEnd w:id="0"/>
    <w:r w:rsidRPr="008C079C">
      <w:rPr>
        <w:rFonts w:ascii="Times New Roman" w:hAnsi="Times New Roman"/>
        <w:sz w:val="16"/>
      </w:rPr>
      <w:t>.  It may not be reproduced, either in whole or in part, in any form whatsoever, to be given, sold or transmitted to any person or entity including but not limited to another school district, organization, company or corporation without written permission from KASB.</w:t>
    </w:r>
  </w:p>
  <w:p w:rsidR="00E720D2" w:rsidRDefault="00E720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2" w:rsidRDefault="00E720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D2" w:rsidRDefault="00E720D2" w:rsidP="00E720D2">
      <w:pPr>
        <w:spacing w:after="0" w:line="240" w:lineRule="auto"/>
      </w:pPr>
      <w:r>
        <w:separator/>
      </w:r>
    </w:p>
  </w:footnote>
  <w:footnote w:type="continuationSeparator" w:id="0">
    <w:p w:rsidR="00E720D2" w:rsidRDefault="00E720D2" w:rsidP="00E7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2" w:rsidRDefault="00E720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2" w:rsidRDefault="00E720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2" w:rsidRDefault="00E720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D2"/>
    <w:rsid w:val="00037BB7"/>
    <w:rsid w:val="00DB3C2D"/>
    <w:rsid w:val="00E7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EDA52"/>
  <w15:chartTrackingRefBased/>
  <w15:docId w15:val="{6CDE218D-C667-45FD-B9A0-0DAA1957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D2"/>
    <w:pPr>
      <w:ind w:left="720"/>
      <w:contextualSpacing/>
    </w:pPr>
  </w:style>
  <w:style w:type="paragraph" w:styleId="Header">
    <w:name w:val="header"/>
    <w:basedOn w:val="Normal"/>
    <w:link w:val="HeaderChar"/>
    <w:uiPriority w:val="99"/>
    <w:unhideWhenUsed/>
    <w:rsid w:val="00E72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D2"/>
    <w:rPr>
      <w:rFonts w:ascii="Calibri" w:eastAsia="Calibri" w:hAnsi="Calibri" w:cs="Times New Roman"/>
    </w:rPr>
  </w:style>
  <w:style w:type="paragraph" w:styleId="Footer">
    <w:name w:val="footer"/>
    <w:basedOn w:val="Normal"/>
    <w:link w:val="FooterChar"/>
    <w:unhideWhenUsed/>
    <w:rsid w:val="00E720D2"/>
    <w:pPr>
      <w:tabs>
        <w:tab w:val="center" w:pos="4680"/>
        <w:tab w:val="right" w:pos="9360"/>
      </w:tabs>
      <w:spacing w:after="0" w:line="240" w:lineRule="auto"/>
    </w:pPr>
  </w:style>
  <w:style w:type="character" w:customStyle="1" w:styleId="FooterChar">
    <w:name w:val="Footer Char"/>
    <w:basedOn w:val="DefaultParagraphFont"/>
    <w:link w:val="Footer"/>
    <w:rsid w:val="00E720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2019-03-11T18:16:00Z</dcterms:created>
  <dcterms:modified xsi:type="dcterms:W3CDTF">2019-03-11T18:17:00Z</dcterms:modified>
</cp:coreProperties>
</file>