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1ED15" w14:textId="5E582D8A" w:rsidR="00560B23" w:rsidRPr="00A41287" w:rsidRDefault="00B23872" w:rsidP="00B23872">
      <w:pPr>
        <w:ind w:left="-180" w:firstLine="180"/>
        <w:rPr>
          <w:sz w:val="28"/>
          <w:szCs w:val="28"/>
        </w:rPr>
      </w:pPr>
      <w:r w:rsidRPr="00E15696">
        <w:rPr>
          <w:b/>
          <w:sz w:val="28"/>
          <w:szCs w:val="28"/>
        </w:rPr>
        <w:t>Date</w:t>
      </w:r>
      <w:r w:rsidRPr="00A41287">
        <w:rPr>
          <w:sz w:val="28"/>
          <w:szCs w:val="28"/>
        </w:rPr>
        <w:t xml:space="preserve">: </w:t>
      </w:r>
      <w:r w:rsidR="00EF14C8">
        <w:rPr>
          <w:sz w:val="28"/>
          <w:szCs w:val="28"/>
        </w:rPr>
        <w:tab/>
      </w:r>
      <w:r w:rsidR="00EF14C8">
        <w:rPr>
          <w:sz w:val="28"/>
          <w:szCs w:val="28"/>
        </w:rPr>
        <w:tab/>
      </w:r>
      <w:r w:rsidR="00EF14C8">
        <w:rPr>
          <w:sz w:val="28"/>
          <w:szCs w:val="28"/>
        </w:rPr>
        <w:tab/>
      </w:r>
      <w:r w:rsidR="00EF14C8">
        <w:rPr>
          <w:sz w:val="28"/>
          <w:szCs w:val="28"/>
        </w:rPr>
        <w:tab/>
      </w:r>
      <w:r w:rsidR="00EF14C8">
        <w:rPr>
          <w:sz w:val="28"/>
          <w:szCs w:val="28"/>
        </w:rPr>
        <w:tab/>
      </w:r>
      <w:r w:rsidR="00EF14C8">
        <w:rPr>
          <w:sz w:val="28"/>
          <w:szCs w:val="28"/>
        </w:rPr>
        <w:tab/>
      </w:r>
      <w:r w:rsidR="00EF14C8">
        <w:rPr>
          <w:sz w:val="28"/>
          <w:szCs w:val="28"/>
        </w:rPr>
        <w:tab/>
      </w:r>
      <w:r w:rsidR="00EF14C8" w:rsidRPr="00EF14C8">
        <w:rPr>
          <w:b/>
          <w:sz w:val="28"/>
          <w:szCs w:val="28"/>
        </w:rPr>
        <w:t>Teacher</w:t>
      </w:r>
      <w:r w:rsidR="00EF14C8">
        <w:rPr>
          <w:sz w:val="28"/>
          <w:szCs w:val="28"/>
        </w:rPr>
        <w:t xml:space="preserve">: </w:t>
      </w:r>
    </w:p>
    <w:p w14:paraId="55F11818" w14:textId="77777777" w:rsidR="004E65F4" w:rsidRDefault="004E65F4"/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40"/>
        <w:gridCol w:w="8860"/>
        <w:gridCol w:w="900"/>
      </w:tblGrid>
      <w:tr w:rsidR="009762E5" w14:paraId="2B186D91" w14:textId="77777777" w:rsidTr="00862CA1">
        <w:trPr>
          <w:cantSplit/>
          <w:trHeight w:val="1413"/>
        </w:trPr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D3625EA" w14:textId="02113D80" w:rsidR="009762E5" w:rsidRPr="00E15696" w:rsidRDefault="009762E5" w:rsidP="00862CA1">
            <w:pPr>
              <w:ind w:left="113"/>
              <w:jc w:val="center"/>
              <w:rPr>
                <w:b/>
              </w:rPr>
            </w:pPr>
            <w:r w:rsidRPr="00E15696">
              <w:rPr>
                <w:b/>
              </w:rPr>
              <w:t>Objective and Standards</w:t>
            </w:r>
          </w:p>
        </w:tc>
        <w:tc>
          <w:tcPr>
            <w:tcW w:w="8860" w:type="dxa"/>
            <w:tcBorders>
              <w:left w:val="single" w:sz="18" w:space="0" w:color="auto"/>
              <w:right w:val="single" w:sz="18" w:space="0" w:color="auto"/>
            </w:tcBorders>
          </w:tcPr>
          <w:p w14:paraId="415949A4" w14:textId="77777777" w:rsidR="009762E5" w:rsidRPr="00703B5F" w:rsidRDefault="009762E5">
            <w:pPr>
              <w:rPr>
                <w:b/>
                <w:i/>
              </w:rPr>
            </w:pPr>
            <w:r w:rsidRPr="00703B5F">
              <w:rPr>
                <w:b/>
                <w:i/>
              </w:rPr>
              <w:t>By the end of the lesson, students will be able to…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2B7780" w14:textId="4285780E" w:rsidR="00862CA1" w:rsidRDefault="00862CA1" w:rsidP="00862C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E15696">
              <w:rPr>
                <w:b/>
              </w:rPr>
              <w:t>hecks for Understanding</w:t>
            </w:r>
            <w:r>
              <w:rPr>
                <w:b/>
              </w:rPr>
              <w:t xml:space="preserve">                                                   Meeting Student Needs</w:t>
            </w:r>
          </w:p>
          <w:p w14:paraId="196AE4EF" w14:textId="2D3A8C13" w:rsidR="009762E5" w:rsidRPr="00E15696" w:rsidRDefault="00862CA1" w:rsidP="00862C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Effective Questions Asking                                                    Student Engagement</w:t>
            </w:r>
          </w:p>
        </w:tc>
      </w:tr>
      <w:tr w:rsidR="009762E5" w14:paraId="01FF7F1B" w14:textId="77777777" w:rsidTr="00862CA1">
        <w:trPr>
          <w:cantSplit/>
          <w:trHeight w:val="1728"/>
        </w:trPr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302B31" w14:textId="77777777" w:rsidR="009762E5" w:rsidRPr="00E15696" w:rsidRDefault="009762E5" w:rsidP="00862CA1">
            <w:pPr>
              <w:ind w:left="113" w:right="113"/>
              <w:jc w:val="center"/>
              <w:rPr>
                <w:b/>
              </w:rPr>
            </w:pPr>
            <w:r w:rsidRPr="00E15696">
              <w:rPr>
                <w:b/>
              </w:rPr>
              <w:t>Direct Instruction-</w:t>
            </w:r>
          </w:p>
        </w:tc>
        <w:tc>
          <w:tcPr>
            <w:tcW w:w="8860" w:type="dxa"/>
            <w:tcBorders>
              <w:left w:val="single" w:sz="18" w:space="0" w:color="auto"/>
              <w:right w:val="single" w:sz="18" w:space="0" w:color="auto"/>
            </w:tcBorders>
          </w:tcPr>
          <w:p w14:paraId="49F5D6A2" w14:textId="77777777" w:rsidR="009762E5" w:rsidRDefault="009762E5"/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37EAE7" w14:textId="77777777" w:rsidR="009762E5" w:rsidRDefault="009762E5" w:rsidP="00862CA1">
            <w:pPr>
              <w:jc w:val="center"/>
            </w:pPr>
          </w:p>
        </w:tc>
      </w:tr>
      <w:tr w:rsidR="009762E5" w14:paraId="62906ABB" w14:textId="77777777" w:rsidTr="00862CA1">
        <w:trPr>
          <w:cantSplit/>
          <w:trHeight w:val="1692"/>
        </w:trPr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1BBCDFB" w14:textId="6A710820" w:rsidR="009762E5" w:rsidRPr="00E15696" w:rsidRDefault="009762E5" w:rsidP="00862CA1">
            <w:pPr>
              <w:ind w:left="113" w:right="113"/>
              <w:jc w:val="center"/>
              <w:rPr>
                <w:b/>
              </w:rPr>
            </w:pPr>
            <w:r w:rsidRPr="00E15696">
              <w:rPr>
                <w:b/>
              </w:rPr>
              <w:t>Guided Practice</w:t>
            </w:r>
          </w:p>
        </w:tc>
        <w:tc>
          <w:tcPr>
            <w:tcW w:w="8860" w:type="dxa"/>
            <w:tcBorders>
              <w:left w:val="single" w:sz="18" w:space="0" w:color="auto"/>
              <w:right w:val="single" w:sz="18" w:space="0" w:color="auto"/>
            </w:tcBorders>
          </w:tcPr>
          <w:p w14:paraId="5CD9DF3D" w14:textId="77777777" w:rsidR="009762E5" w:rsidRDefault="009762E5"/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61BD3" w14:textId="77777777" w:rsidR="009762E5" w:rsidRDefault="009762E5" w:rsidP="00862CA1">
            <w:pPr>
              <w:jc w:val="center"/>
            </w:pPr>
          </w:p>
        </w:tc>
      </w:tr>
      <w:tr w:rsidR="009762E5" w14:paraId="143914F4" w14:textId="77777777" w:rsidTr="00862CA1">
        <w:trPr>
          <w:cantSplit/>
          <w:trHeight w:val="1728"/>
        </w:trPr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5B6930" w14:textId="0D51AF6A" w:rsidR="009762E5" w:rsidRPr="00E15696" w:rsidRDefault="009762E5" w:rsidP="00862CA1">
            <w:pPr>
              <w:ind w:left="113" w:right="113"/>
              <w:jc w:val="center"/>
              <w:rPr>
                <w:b/>
              </w:rPr>
            </w:pPr>
            <w:r w:rsidRPr="00E15696">
              <w:rPr>
                <w:b/>
              </w:rPr>
              <w:t>Independent Practice</w:t>
            </w:r>
          </w:p>
        </w:tc>
        <w:tc>
          <w:tcPr>
            <w:tcW w:w="8860" w:type="dxa"/>
            <w:tcBorders>
              <w:left w:val="single" w:sz="18" w:space="0" w:color="auto"/>
              <w:right w:val="single" w:sz="18" w:space="0" w:color="auto"/>
            </w:tcBorders>
          </w:tcPr>
          <w:p w14:paraId="22DF4DCD" w14:textId="77777777" w:rsidR="009762E5" w:rsidRDefault="009762E5"/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87282" w14:textId="77777777" w:rsidR="009762E5" w:rsidRDefault="009762E5" w:rsidP="00862CA1">
            <w:pPr>
              <w:jc w:val="center"/>
            </w:pPr>
          </w:p>
        </w:tc>
      </w:tr>
      <w:tr w:rsidR="009762E5" w14:paraId="44796238" w14:textId="77777777" w:rsidTr="00862CA1">
        <w:trPr>
          <w:cantSplit/>
          <w:trHeight w:val="1575"/>
        </w:trPr>
        <w:tc>
          <w:tcPr>
            <w:tcW w:w="1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E5A0EA" w14:textId="77777777" w:rsidR="009762E5" w:rsidRPr="00E15696" w:rsidRDefault="009762E5" w:rsidP="00862CA1">
            <w:pPr>
              <w:ind w:left="113" w:right="113"/>
              <w:jc w:val="center"/>
              <w:rPr>
                <w:b/>
              </w:rPr>
            </w:pPr>
            <w:r w:rsidRPr="00E15696">
              <w:rPr>
                <w:b/>
              </w:rPr>
              <w:t>Assessment</w:t>
            </w:r>
          </w:p>
        </w:tc>
        <w:tc>
          <w:tcPr>
            <w:tcW w:w="8860" w:type="dxa"/>
            <w:tcBorders>
              <w:left w:val="single" w:sz="18" w:space="0" w:color="auto"/>
              <w:right w:val="single" w:sz="18" w:space="0" w:color="auto"/>
            </w:tcBorders>
          </w:tcPr>
          <w:p w14:paraId="405B2DC4" w14:textId="77777777" w:rsidR="009762E5" w:rsidRDefault="009762E5"/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F77C51" w14:textId="77777777" w:rsidR="009762E5" w:rsidRDefault="009762E5" w:rsidP="00862CA1">
            <w:pPr>
              <w:jc w:val="center"/>
            </w:pPr>
          </w:p>
        </w:tc>
      </w:tr>
    </w:tbl>
    <w:p w14:paraId="7FB9D302" w14:textId="77777777" w:rsidR="00A41287" w:rsidRDefault="00A41287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188"/>
        <w:gridCol w:w="4140"/>
        <w:gridCol w:w="2340"/>
        <w:gridCol w:w="2970"/>
      </w:tblGrid>
      <w:tr w:rsidR="00A41287" w14:paraId="50707265" w14:textId="77777777" w:rsidTr="00703B5F">
        <w:trPr>
          <w:gridBefore w:val="1"/>
          <w:gridAfter w:val="1"/>
          <w:wBefore w:w="1188" w:type="dxa"/>
          <w:wAfter w:w="2970" w:type="dxa"/>
        </w:trPr>
        <w:tc>
          <w:tcPr>
            <w:tcW w:w="6480" w:type="dxa"/>
            <w:gridSpan w:val="2"/>
            <w:shd w:val="clear" w:color="auto" w:fill="BFBFBF" w:themeFill="background1" w:themeFillShade="BF"/>
          </w:tcPr>
          <w:p w14:paraId="16E0FDAC" w14:textId="77777777" w:rsidR="00A41287" w:rsidRPr="00A41287" w:rsidRDefault="00A41287">
            <w:pPr>
              <w:rPr>
                <w:b/>
                <w:sz w:val="28"/>
                <w:szCs w:val="28"/>
              </w:rPr>
            </w:pPr>
            <w:r w:rsidRPr="00A41287">
              <w:rPr>
                <w:b/>
                <w:sz w:val="28"/>
                <w:szCs w:val="28"/>
              </w:rPr>
              <w:t>Lesson Components</w:t>
            </w:r>
          </w:p>
        </w:tc>
      </w:tr>
      <w:tr w:rsidR="00862CA1" w14:paraId="3DBB092A" w14:textId="77777777" w:rsidTr="00862CA1">
        <w:tc>
          <w:tcPr>
            <w:tcW w:w="5328" w:type="dxa"/>
            <w:gridSpan w:val="2"/>
          </w:tcPr>
          <w:p w14:paraId="04E16E67" w14:textId="282DE062" w:rsidR="00862CA1" w:rsidRPr="00E15696" w:rsidRDefault="00862CA1" w:rsidP="00A4128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0"/>
                <w:szCs w:val="20"/>
              </w:rPr>
            </w:pPr>
            <w:r w:rsidRPr="00E15696">
              <w:rPr>
                <w:rFonts w:ascii="Times" w:hAnsi="Times" w:cs="Times"/>
                <w:b/>
                <w:sz w:val="20"/>
                <w:szCs w:val="20"/>
              </w:rPr>
              <w:t>Objective</w:t>
            </w:r>
            <w:r w:rsidR="00AB6F2D">
              <w:rPr>
                <w:rFonts w:ascii="Times" w:hAnsi="Times" w:cs="Times"/>
                <w:b/>
                <w:sz w:val="20"/>
                <w:szCs w:val="20"/>
              </w:rPr>
              <w:t xml:space="preserve"> and Standards</w:t>
            </w:r>
          </w:p>
          <w:p w14:paraId="5755137F" w14:textId="0855A6CE" w:rsidR="00862CA1" w:rsidRPr="00E15696" w:rsidRDefault="00862CA1" w:rsidP="00AB6F2D">
            <w:pPr>
              <w:widowControl w:val="0"/>
              <w:autoSpaceDE w:val="0"/>
              <w:autoSpaceDN w:val="0"/>
              <w:adjustRightInd w:val="0"/>
              <w:ind w:left="270"/>
              <w:rPr>
                <w:rFonts w:ascii="Times" w:hAnsi="Times" w:cs="Times"/>
                <w:sz w:val="20"/>
                <w:szCs w:val="20"/>
              </w:rPr>
            </w:pPr>
            <w:r w:rsidRPr="00E15696">
              <w:rPr>
                <w:rFonts w:ascii="Times" w:hAnsi="Times" w:cs="Times"/>
                <w:sz w:val="20"/>
                <w:szCs w:val="20"/>
              </w:rPr>
              <w:t xml:space="preserve">States what the students are able to know and/or do </w:t>
            </w:r>
            <w:r w:rsidR="00AB6F2D">
              <w:rPr>
                <w:rFonts w:ascii="Times" w:hAnsi="Times" w:cs="Times"/>
                <w:sz w:val="20"/>
                <w:szCs w:val="20"/>
              </w:rPr>
              <w:t>by the end of the lesson. One or</w:t>
            </w:r>
            <w:r w:rsidRPr="00E15696">
              <w:rPr>
                <w:rFonts w:ascii="Times" w:hAnsi="Times" w:cs="Times"/>
                <w:sz w:val="20"/>
                <w:szCs w:val="20"/>
              </w:rPr>
              <w:t xml:space="preserve"> more standards </w:t>
            </w:r>
            <w:r w:rsidR="00131127">
              <w:rPr>
                <w:rFonts w:ascii="Times" w:hAnsi="Times" w:cs="Times"/>
                <w:sz w:val="20"/>
                <w:szCs w:val="20"/>
              </w:rPr>
              <w:t xml:space="preserve">should </w:t>
            </w:r>
            <w:r w:rsidR="00131127" w:rsidRPr="00E15696">
              <w:rPr>
                <w:rFonts w:ascii="Times" w:hAnsi="Times" w:cs="Times"/>
                <w:sz w:val="20"/>
                <w:szCs w:val="20"/>
              </w:rPr>
              <w:t>be</w:t>
            </w:r>
            <w:r w:rsidRPr="00E15696">
              <w:rPr>
                <w:rFonts w:ascii="Times" w:hAnsi="Times" w:cs="Times"/>
                <w:sz w:val="20"/>
                <w:szCs w:val="20"/>
              </w:rPr>
              <w:t xml:space="preserve"> reference and the objective should align to the Understanding Goal (MYP a</w:t>
            </w:r>
            <w:r w:rsidR="00AB6F2D">
              <w:rPr>
                <w:rFonts w:ascii="Times" w:hAnsi="Times" w:cs="Times"/>
                <w:sz w:val="20"/>
                <w:szCs w:val="20"/>
              </w:rPr>
              <w:t>n</w:t>
            </w:r>
            <w:r w:rsidRPr="00E15696">
              <w:rPr>
                <w:rFonts w:ascii="Times" w:hAnsi="Times" w:cs="Times"/>
                <w:sz w:val="20"/>
                <w:szCs w:val="20"/>
              </w:rPr>
              <w:t>d IB)</w:t>
            </w:r>
            <w:r>
              <w:rPr>
                <w:rFonts w:ascii="Times" w:hAnsi="Times" w:cs="Times"/>
                <w:sz w:val="20"/>
                <w:szCs w:val="20"/>
              </w:rPr>
              <w:t>. This should be seen and understood by the students.</w:t>
            </w:r>
          </w:p>
          <w:p w14:paraId="75D9E42C" w14:textId="77777777" w:rsidR="00862CA1" w:rsidRPr="00E15696" w:rsidRDefault="00862CA1" w:rsidP="00A4128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4313618C" w14:textId="77777777" w:rsidR="00862CA1" w:rsidRPr="00E15696" w:rsidRDefault="00862CA1" w:rsidP="00A4128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0"/>
                <w:szCs w:val="20"/>
              </w:rPr>
            </w:pPr>
            <w:r w:rsidRPr="00E15696">
              <w:rPr>
                <w:rFonts w:ascii="Times" w:hAnsi="Times" w:cs="Times"/>
                <w:b/>
                <w:sz w:val="20"/>
                <w:szCs w:val="20"/>
              </w:rPr>
              <w:t>Direct Instruction</w:t>
            </w:r>
          </w:p>
          <w:p w14:paraId="5992118C" w14:textId="77777777" w:rsidR="00862CA1" w:rsidRPr="00E15696" w:rsidRDefault="00862CA1" w:rsidP="00AB6F2D">
            <w:pPr>
              <w:widowControl w:val="0"/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ind w:left="270"/>
              <w:rPr>
                <w:rFonts w:ascii="Times" w:hAnsi="Times" w:cs="Times"/>
                <w:sz w:val="20"/>
                <w:szCs w:val="20"/>
              </w:rPr>
            </w:pPr>
            <w:r w:rsidRPr="00E15696">
              <w:rPr>
                <w:rFonts w:ascii="Times" w:hAnsi="Times" w:cs="Times"/>
                <w:sz w:val="20"/>
                <w:szCs w:val="20"/>
              </w:rPr>
              <w:t>Teacher engages students in an introduction of the lessons content.</w:t>
            </w:r>
          </w:p>
          <w:p w14:paraId="53B811F5" w14:textId="77777777" w:rsidR="00862CA1" w:rsidRPr="00E15696" w:rsidRDefault="00862CA1" w:rsidP="00A41287">
            <w:pPr>
              <w:widowControl w:val="0"/>
              <w:tabs>
                <w:tab w:val="left" w:pos="90"/>
                <w:tab w:val="left" w:pos="900"/>
              </w:tabs>
              <w:autoSpaceDE w:val="0"/>
              <w:autoSpaceDN w:val="0"/>
              <w:adjustRightInd w:val="0"/>
              <w:ind w:left="90"/>
              <w:rPr>
                <w:rFonts w:ascii="Times" w:hAnsi="Times" w:cs="Times"/>
                <w:sz w:val="20"/>
                <w:szCs w:val="20"/>
              </w:rPr>
            </w:pPr>
          </w:p>
          <w:p w14:paraId="5795C5A2" w14:textId="77777777" w:rsidR="00862CA1" w:rsidRPr="00E15696" w:rsidRDefault="00862CA1" w:rsidP="00E156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0"/>
                <w:szCs w:val="20"/>
              </w:rPr>
            </w:pPr>
            <w:r w:rsidRPr="00E15696">
              <w:rPr>
                <w:rFonts w:ascii="Times" w:hAnsi="Times" w:cs="Times"/>
                <w:b/>
                <w:sz w:val="20"/>
                <w:szCs w:val="20"/>
              </w:rPr>
              <w:t>Guided Practice</w:t>
            </w:r>
          </w:p>
          <w:p w14:paraId="27CBCBB1" w14:textId="65F1F0F2" w:rsidR="00862CA1" w:rsidRPr="00E15696" w:rsidRDefault="00862CA1" w:rsidP="00E15696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Times" w:hAnsi="Times" w:cs="Times"/>
                <w:sz w:val="20"/>
                <w:szCs w:val="20"/>
              </w:rPr>
            </w:pPr>
            <w:r w:rsidRPr="00E15696">
              <w:rPr>
                <w:rFonts w:ascii="Times" w:hAnsi="Times" w:cs="Times"/>
                <w:sz w:val="20"/>
                <w:szCs w:val="20"/>
              </w:rPr>
              <w:t>Student engages in the application of new learning with the support of the teacher</w:t>
            </w:r>
            <w:r w:rsidR="00AB6F2D">
              <w:rPr>
                <w:rFonts w:ascii="Times" w:hAnsi="Times" w:cs="Times"/>
                <w:sz w:val="20"/>
                <w:szCs w:val="20"/>
              </w:rPr>
              <w:t>.</w:t>
            </w:r>
          </w:p>
          <w:p w14:paraId="50521819" w14:textId="77777777" w:rsidR="00862CA1" w:rsidRDefault="00862CA1" w:rsidP="00E15696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Times" w:hAnsi="Times" w:cs="Times"/>
                <w:sz w:val="20"/>
                <w:szCs w:val="20"/>
              </w:rPr>
            </w:pPr>
          </w:p>
          <w:p w14:paraId="797A7C69" w14:textId="77777777" w:rsidR="00862CA1" w:rsidRPr="00E15696" w:rsidRDefault="00862CA1" w:rsidP="009762E5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Times" w:hAnsi="Times" w:cs="Times"/>
                <w:b/>
                <w:sz w:val="20"/>
                <w:szCs w:val="20"/>
              </w:rPr>
            </w:pPr>
            <w:r w:rsidRPr="00E15696">
              <w:rPr>
                <w:rFonts w:ascii="Times" w:hAnsi="Times" w:cs="Times"/>
                <w:b/>
                <w:sz w:val="20"/>
                <w:szCs w:val="20"/>
              </w:rPr>
              <w:t>Independent Practice</w:t>
            </w:r>
          </w:p>
          <w:p w14:paraId="7E508C3B" w14:textId="69863874" w:rsidR="00862CA1" w:rsidRDefault="00862CA1" w:rsidP="009762E5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Pr="00E15696">
              <w:rPr>
                <w:rFonts w:ascii="Times" w:hAnsi="Times" w:cs="Times"/>
                <w:sz w:val="20"/>
                <w:szCs w:val="20"/>
              </w:rPr>
              <w:t>Student applies new learning individually, in pairs or small groups to demonstrate their mastery of the learning.</w:t>
            </w:r>
          </w:p>
          <w:p w14:paraId="7320A506" w14:textId="77777777" w:rsidR="00862CA1" w:rsidRDefault="00862CA1" w:rsidP="00E15696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Times" w:hAnsi="Times" w:cs="Times"/>
                <w:sz w:val="20"/>
                <w:szCs w:val="20"/>
              </w:rPr>
            </w:pPr>
          </w:p>
          <w:p w14:paraId="2B26AEFD" w14:textId="77777777" w:rsidR="00862CA1" w:rsidRPr="00E15696" w:rsidRDefault="00862CA1" w:rsidP="00862CA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0"/>
                <w:szCs w:val="20"/>
              </w:rPr>
            </w:pPr>
            <w:r w:rsidRPr="00E15696">
              <w:rPr>
                <w:rFonts w:ascii="Times" w:hAnsi="Times" w:cs="Times"/>
                <w:b/>
                <w:sz w:val="20"/>
                <w:szCs w:val="20"/>
              </w:rPr>
              <w:t>Assessment</w:t>
            </w:r>
          </w:p>
          <w:p w14:paraId="787345E7" w14:textId="462D7A42" w:rsidR="00862CA1" w:rsidRPr="00E15696" w:rsidRDefault="00862CA1" w:rsidP="00862CA1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Times" w:hAnsi="Times" w:cs="Times"/>
                <w:sz w:val="20"/>
                <w:szCs w:val="20"/>
              </w:rPr>
            </w:pPr>
            <w:r w:rsidRPr="00E15696">
              <w:rPr>
                <w:rFonts w:ascii="Times" w:hAnsi="Times" w:cs="Times"/>
                <w:sz w:val="20"/>
                <w:szCs w:val="20"/>
              </w:rPr>
              <w:t>Allows a student to demonstrate newly acquired knowledge.</w:t>
            </w:r>
          </w:p>
        </w:tc>
        <w:tc>
          <w:tcPr>
            <w:tcW w:w="5310" w:type="dxa"/>
            <w:gridSpan w:val="2"/>
          </w:tcPr>
          <w:p w14:paraId="5D350E1C" w14:textId="77777777" w:rsidR="00862CA1" w:rsidRPr="00E15696" w:rsidRDefault="00862CA1" w:rsidP="009A3EC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0"/>
                <w:szCs w:val="20"/>
              </w:rPr>
            </w:pPr>
            <w:r w:rsidRPr="00E15696">
              <w:rPr>
                <w:rFonts w:ascii="Times" w:hAnsi="Times" w:cs="Times"/>
                <w:b/>
                <w:sz w:val="20"/>
                <w:szCs w:val="20"/>
              </w:rPr>
              <w:t>Checks for Understanding</w:t>
            </w:r>
          </w:p>
          <w:p w14:paraId="576B3D95" w14:textId="77777777" w:rsidR="00862CA1" w:rsidRDefault="00862CA1" w:rsidP="00AB6F2D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Teacher generated opportunities for students to demonstrate their understanding throughout the lesson.</w:t>
            </w:r>
          </w:p>
          <w:p w14:paraId="48266F2B" w14:textId="77777777" w:rsidR="00862CA1" w:rsidRDefault="00862CA1" w:rsidP="009A3EC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0583AFFF" w14:textId="77777777" w:rsidR="00862CA1" w:rsidRPr="00E15696" w:rsidRDefault="00862CA1" w:rsidP="009A3EC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0"/>
                <w:szCs w:val="20"/>
              </w:rPr>
            </w:pPr>
            <w:r w:rsidRPr="00E15696">
              <w:rPr>
                <w:rFonts w:ascii="Times" w:hAnsi="Times" w:cs="Times"/>
                <w:b/>
                <w:sz w:val="20"/>
                <w:szCs w:val="20"/>
              </w:rPr>
              <w:t xml:space="preserve">Effective </w:t>
            </w:r>
            <w:r>
              <w:rPr>
                <w:rFonts w:ascii="Times" w:hAnsi="Times" w:cs="Times"/>
                <w:b/>
                <w:sz w:val="20"/>
                <w:szCs w:val="20"/>
              </w:rPr>
              <w:t>Question Asking</w:t>
            </w:r>
          </w:p>
          <w:p w14:paraId="28038847" w14:textId="77777777" w:rsidR="00862CA1" w:rsidRDefault="00862CA1" w:rsidP="00AB6F2D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Key questions intended to be asked throughout the lesson that reveals student thinking and generates discussion.</w:t>
            </w:r>
          </w:p>
          <w:p w14:paraId="2A8FDFF0" w14:textId="77777777" w:rsidR="00862CA1" w:rsidRDefault="00862CA1" w:rsidP="009A3ECA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Times" w:hAnsi="Times" w:cs="Times"/>
                <w:sz w:val="20"/>
                <w:szCs w:val="20"/>
              </w:rPr>
            </w:pPr>
            <w:bookmarkStart w:id="0" w:name="_GoBack"/>
            <w:bookmarkEnd w:id="0"/>
          </w:p>
          <w:p w14:paraId="11DA5D8E" w14:textId="77777777" w:rsidR="00AB6F2D" w:rsidRDefault="00862CA1" w:rsidP="009A3EC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0"/>
                <w:szCs w:val="20"/>
              </w:rPr>
            </w:pPr>
            <w:r w:rsidRPr="009762E5">
              <w:rPr>
                <w:rFonts w:ascii="Times" w:hAnsi="Times" w:cs="Times"/>
                <w:b/>
                <w:sz w:val="20"/>
                <w:szCs w:val="20"/>
              </w:rPr>
              <w:t>Student Engagement</w:t>
            </w:r>
          </w:p>
          <w:p w14:paraId="7841786D" w14:textId="0F204FC1" w:rsidR="00862CA1" w:rsidRPr="00AB6F2D" w:rsidRDefault="00862CA1" w:rsidP="00AB6F2D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Method of instructional delivery and q</w:t>
            </w:r>
            <w:r w:rsidR="00AB6F2D">
              <w:rPr>
                <w:rFonts w:ascii="Times" w:hAnsi="Times" w:cs="Times"/>
                <w:sz w:val="20"/>
                <w:szCs w:val="20"/>
              </w:rPr>
              <w:t xml:space="preserve">uestion asking that requires </w:t>
            </w:r>
            <w:r>
              <w:rPr>
                <w:rFonts w:ascii="Times" w:hAnsi="Times" w:cs="Times"/>
                <w:sz w:val="20"/>
                <w:szCs w:val="20"/>
              </w:rPr>
              <w:t>all students to be involved with the learning.</w:t>
            </w:r>
          </w:p>
          <w:p w14:paraId="02B5E5C9" w14:textId="77777777" w:rsidR="00862CA1" w:rsidRDefault="00862CA1" w:rsidP="009A3EC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</w:p>
          <w:p w14:paraId="173D10FC" w14:textId="77777777" w:rsidR="00862CA1" w:rsidRPr="00C43F3E" w:rsidRDefault="00862CA1" w:rsidP="009A3EC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20"/>
                <w:szCs w:val="20"/>
              </w:rPr>
            </w:pPr>
            <w:r w:rsidRPr="00C43F3E">
              <w:rPr>
                <w:rFonts w:ascii="Times" w:hAnsi="Times" w:cs="Times"/>
                <w:b/>
                <w:sz w:val="20"/>
                <w:szCs w:val="20"/>
              </w:rPr>
              <w:t>Meeting Student Needs</w:t>
            </w:r>
          </w:p>
          <w:p w14:paraId="773169F6" w14:textId="3703F91A" w:rsidR="00862CA1" w:rsidRPr="00E15696" w:rsidRDefault="00AB6F2D" w:rsidP="00AB6F2D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Includes</w:t>
            </w:r>
            <w:r w:rsidR="00862CA1">
              <w:rPr>
                <w:rFonts w:ascii="Times" w:hAnsi="Times" w:cs="Times"/>
                <w:sz w:val="20"/>
                <w:szCs w:val="20"/>
              </w:rPr>
              <w:t xml:space="preserve"> how the lesson may be </w:t>
            </w:r>
            <w:r w:rsidR="00862CA1">
              <w:rPr>
                <w:sz w:val="20"/>
                <w:szCs w:val="20"/>
              </w:rPr>
              <w:t>adapted</w:t>
            </w:r>
            <w:r w:rsidR="00862CA1" w:rsidRPr="006D579F">
              <w:rPr>
                <w:sz w:val="20"/>
                <w:szCs w:val="20"/>
              </w:rPr>
              <w:t xml:space="preserve"> </w:t>
            </w:r>
            <w:r w:rsidR="00862CA1">
              <w:rPr>
                <w:sz w:val="20"/>
                <w:szCs w:val="20"/>
              </w:rPr>
              <w:t xml:space="preserve">in the form of </w:t>
            </w:r>
            <w:r w:rsidR="00862CA1" w:rsidRPr="006D579F">
              <w:rPr>
                <w:sz w:val="20"/>
                <w:szCs w:val="20"/>
              </w:rPr>
              <w:t xml:space="preserve">presentation methods/materials, </w:t>
            </w:r>
            <w:r w:rsidR="00862CA1">
              <w:rPr>
                <w:sz w:val="20"/>
                <w:szCs w:val="20"/>
              </w:rPr>
              <w:t>and how it</w:t>
            </w:r>
            <w:r w:rsidR="00862CA1" w:rsidRPr="006D579F">
              <w:rPr>
                <w:sz w:val="20"/>
                <w:szCs w:val="20"/>
              </w:rPr>
              <w:t xml:space="preserve"> meets student needs.</w:t>
            </w:r>
          </w:p>
        </w:tc>
      </w:tr>
    </w:tbl>
    <w:p w14:paraId="4B5B6168" w14:textId="4ECCAA9F" w:rsidR="00A41287" w:rsidRDefault="00A41287"/>
    <w:sectPr w:rsidR="00A41287" w:rsidSect="00E15696">
      <w:pgSz w:w="12240" w:h="15840"/>
      <w:pgMar w:top="450" w:right="180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3900" w14:textId="77777777" w:rsidR="00A41287" w:rsidRDefault="00A41287" w:rsidP="00B23872">
      <w:r>
        <w:separator/>
      </w:r>
    </w:p>
  </w:endnote>
  <w:endnote w:type="continuationSeparator" w:id="0">
    <w:p w14:paraId="48933D60" w14:textId="77777777" w:rsidR="00A41287" w:rsidRDefault="00A41287" w:rsidP="00B2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4A1C2" w14:textId="77777777" w:rsidR="00A41287" w:rsidRDefault="00A41287" w:rsidP="00B23872">
      <w:r>
        <w:separator/>
      </w:r>
    </w:p>
  </w:footnote>
  <w:footnote w:type="continuationSeparator" w:id="0">
    <w:p w14:paraId="59E07E91" w14:textId="77777777" w:rsidR="00A41287" w:rsidRDefault="00A41287" w:rsidP="00B23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4"/>
    <w:rsid w:val="00131127"/>
    <w:rsid w:val="002C26BE"/>
    <w:rsid w:val="003E21C0"/>
    <w:rsid w:val="004E65F4"/>
    <w:rsid w:val="00560B23"/>
    <w:rsid w:val="00703B5F"/>
    <w:rsid w:val="007E4C80"/>
    <w:rsid w:val="00862CA1"/>
    <w:rsid w:val="009762E5"/>
    <w:rsid w:val="00A41287"/>
    <w:rsid w:val="00AB6F2D"/>
    <w:rsid w:val="00B23872"/>
    <w:rsid w:val="00E15696"/>
    <w:rsid w:val="00E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B9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872"/>
  </w:style>
  <w:style w:type="paragraph" w:styleId="Footer">
    <w:name w:val="footer"/>
    <w:basedOn w:val="Normal"/>
    <w:link w:val="FooterChar"/>
    <w:uiPriority w:val="99"/>
    <w:unhideWhenUsed/>
    <w:rsid w:val="00B23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872"/>
  </w:style>
  <w:style w:type="paragraph" w:styleId="Footer">
    <w:name w:val="footer"/>
    <w:basedOn w:val="Normal"/>
    <w:link w:val="FooterChar"/>
    <w:uiPriority w:val="99"/>
    <w:unhideWhenUsed/>
    <w:rsid w:val="00B23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Thompson</dc:creator>
  <cp:lastModifiedBy>binghamton</cp:lastModifiedBy>
  <cp:revision>8</cp:revision>
  <cp:lastPrinted>2013-01-09T19:31:00Z</cp:lastPrinted>
  <dcterms:created xsi:type="dcterms:W3CDTF">2013-01-09T19:31:00Z</dcterms:created>
  <dcterms:modified xsi:type="dcterms:W3CDTF">2013-04-22T04:57:00Z</dcterms:modified>
</cp:coreProperties>
</file>