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BESSEMER AREA SCHOOL DISTRICT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b w:val="1"/>
          <w:smallCaps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52"/>
          <w:szCs w:val="52"/>
          <w:highlight w:val="lightGray"/>
          <w:rtl w:val="0"/>
        </w:rPr>
        <w:t xml:space="preserve">BOARD OF EDUCATION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u w:val="single"/>
          <w:rtl w:val="0"/>
        </w:rPr>
        <w:t xml:space="preserve">Building and Grounds Committee Meeting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Wednesday, March 17, 2021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9:00 a.m.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Library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A.D. Johnston Jr./Sr. High School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100 W. Lead Street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Bessemer MI 49911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