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page" w:horzAnchor="margin" w:tblpXSpec="center" w:tblpY="2044"/>
        <w:tblW w:w="12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325"/>
        <w:gridCol w:w="2880"/>
        <w:gridCol w:w="5530"/>
      </w:tblGrid>
      <w:tr w:rsidR="005D5A9D" w:rsidTr="005D5A9D">
        <w:tc>
          <w:tcPr>
            <w:tcW w:w="1785" w:type="dxa"/>
            <w:tcMar>
              <w:top w:w="100" w:type="dxa"/>
              <w:left w:w="100" w:type="dxa"/>
              <w:bottom w:w="100" w:type="dxa"/>
              <w:right w:w="100" w:type="dxa"/>
            </w:tcMar>
          </w:tcPr>
          <w:p w:rsidR="005D5A9D" w:rsidRDefault="005D5A9D" w:rsidP="005D5A9D">
            <w:pPr>
              <w:widowControl w:val="0"/>
              <w:spacing w:line="240" w:lineRule="auto"/>
            </w:pPr>
            <w:bookmarkStart w:id="0" w:name="_GoBack"/>
            <w:bookmarkEnd w:id="0"/>
            <w:r>
              <w:rPr>
                <w:rFonts w:ascii="Arial Narrow" w:eastAsia="Arial Narrow" w:hAnsi="Arial Narrow" w:cs="Arial Narrow"/>
                <w:b/>
              </w:rPr>
              <w:t>Teacher Type</w:t>
            </w:r>
          </w:p>
        </w:tc>
        <w:tc>
          <w:tcPr>
            <w:tcW w:w="232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Required Assessments</w:t>
            </w:r>
          </w:p>
        </w:tc>
        <w:tc>
          <w:tcPr>
            <w:tcW w:w="288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Optional Assessments</w:t>
            </w:r>
          </w:p>
        </w:tc>
        <w:tc>
          <w:tcPr>
            <w:tcW w:w="553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Student Growth Data</w:t>
            </w:r>
          </w:p>
        </w:tc>
      </w:tr>
      <w:tr w:rsidR="005D5A9D" w:rsidTr="005D5A9D">
        <w:tc>
          <w:tcPr>
            <w:tcW w:w="178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Non-Tenured</w:t>
            </w:r>
          </w:p>
          <w:p w:rsidR="005D5A9D" w:rsidRDefault="005D5A9D" w:rsidP="005D5A9D">
            <w:pPr>
              <w:widowControl w:val="0"/>
              <w:spacing w:line="240" w:lineRule="auto"/>
            </w:pPr>
            <w:r>
              <w:rPr>
                <w:rFonts w:ascii="Arial Narrow" w:eastAsia="Arial Narrow" w:hAnsi="Arial Narrow" w:cs="Arial Narrow"/>
                <w:b/>
              </w:rPr>
              <w:t>(1st and 2nd Year in District)</w:t>
            </w:r>
          </w:p>
        </w:tc>
        <w:tc>
          <w:tcPr>
            <w:tcW w:w="232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 xml:space="preserve">Type II Assessment </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AND</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A Type I or Type III Assessment</w:t>
            </w:r>
          </w:p>
        </w:tc>
        <w:tc>
          <w:tcPr>
            <w:tcW w:w="288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 xml:space="preserve">Special education teachers and other teachers as determined by the Joint Committee*, will be allowed to use two Type III assessments.  </w:t>
            </w:r>
          </w:p>
        </w:tc>
        <w:tc>
          <w:tcPr>
            <w:tcW w:w="553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For the first and second year in the district, teachers will use the student growth assessment data collected during the current evaluation period.  Three data points must be collected from August to January.</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 xml:space="preserve">During the second year, if indicated by the specified dates of the common assessment, a fourth data point may need to be collected, which will be used in the third year’s student growth component of the evaluation process.  If the common assessment dates, as stated on the Common Assessment Cover Sheet, are already set for January or before, no additional data point is required.  </w:t>
            </w:r>
          </w:p>
          <w:p w:rsidR="005D5A9D" w:rsidRDefault="005D5A9D" w:rsidP="005D5A9D"/>
        </w:tc>
      </w:tr>
      <w:tr w:rsidR="005D5A9D" w:rsidTr="005D5A9D">
        <w:tc>
          <w:tcPr>
            <w:tcW w:w="178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Non-Tenured</w:t>
            </w:r>
          </w:p>
          <w:p w:rsidR="005D5A9D" w:rsidRDefault="005D5A9D" w:rsidP="005D5A9D">
            <w:pPr>
              <w:widowControl w:val="0"/>
              <w:spacing w:line="240" w:lineRule="auto"/>
            </w:pPr>
            <w:r>
              <w:rPr>
                <w:rFonts w:ascii="Arial Narrow" w:eastAsia="Arial Narrow" w:hAnsi="Arial Narrow" w:cs="Arial Narrow"/>
                <w:b/>
              </w:rPr>
              <w:t>(Years 3-4 in District)</w:t>
            </w:r>
          </w:p>
        </w:tc>
        <w:tc>
          <w:tcPr>
            <w:tcW w:w="232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 xml:space="preserve">Type II Assessment </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AND</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A Type I or Type III Assessment</w:t>
            </w:r>
          </w:p>
        </w:tc>
        <w:tc>
          <w:tcPr>
            <w:tcW w:w="288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Special education teachers and other teachers as determined by the Joint Committee*, will be allowed to use two Type III assessments.</w:t>
            </w:r>
          </w:p>
        </w:tc>
        <w:tc>
          <w:tcPr>
            <w:tcW w:w="553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For their current year’s summative evaluation, teachers will use the student growth assessment data collected the prior year.</w:t>
            </w:r>
          </w:p>
          <w:p w:rsidR="005D5A9D" w:rsidRDefault="005D5A9D" w:rsidP="005D5A9D"/>
          <w:p w:rsidR="005D5A9D" w:rsidRDefault="005D5A9D" w:rsidP="005D5A9D"/>
        </w:tc>
      </w:tr>
      <w:tr w:rsidR="005D5A9D" w:rsidTr="005D5A9D">
        <w:tc>
          <w:tcPr>
            <w:tcW w:w="178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Tenured</w:t>
            </w:r>
          </w:p>
        </w:tc>
        <w:tc>
          <w:tcPr>
            <w:tcW w:w="232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Type II Assessment</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 xml:space="preserve">AND </w:t>
            </w:r>
          </w:p>
          <w:p w:rsidR="005D5A9D" w:rsidRDefault="005D5A9D" w:rsidP="005D5A9D">
            <w:pPr>
              <w:widowControl w:val="0"/>
              <w:spacing w:line="240" w:lineRule="auto"/>
            </w:pPr>
          </w:p>
          <w:p w:rsidR="005D5A9D" w:rsidRDefault="005D5A9D" w:rsidP="005D5A9D">
            <w:pPr>
              <w:widowControl w:val="0"/>
              <w:spacing w:line="240" w:lineRule="auto"/>
            </w:pPr>
            <w:r>
              <w:rPr>
                <w:rFonts w:ascii="Arial Narrow" w:eastAsia="Arial Narrow" w:hAnsi="Arial Narrow" w:cs="Arial Narrow"/>
              </w:rPr>
              <w:t>A Type I or Type III Assessment</w:t>
            </w:r>
          </w:p>
          <w:p w:rsidR="005D5A9D" w:rsidRDefault="005D5A9D" w:rsidP="005D5A9D">
            <w:pPr>
              <w:widowControl w:val="0"/>
              <w:spacing w:line="240" w:lineRule="auto"/>
            </w:pPr>
          </w:p>
        </w:tc>
        <w:tc>
          <w:tcPr>
            <w:tcW w:w="288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Special education teachers and other teachers as determined by the Joint Committee*, will be allowed to use two Type III assessments.</w:t>
            </w:r>
          </w:p>
        </w:tc>
        <w:tc>
          <w:tcPr>
            <w:tcW w:w="553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rPr>
              <w:t>For their current year’s summative evaluation, teachers will use the student growth assessment data collected the prior year.</w:t>
            </w:r>
          </w:p>
          <w:p w:rsidR="005D5A9D" w:rsidRDefault="005D5A9D" w:rsidP="005D5A9D">
            <w:pPr>
              <w:widowControl w:val="0"/>
              <w:spacing w:line="240" w:lineRule="auto"/>
            </w:pPr>
          </w:p>
          <w:p w:rsidR="005D5A9D" w:rsidRDefault="005D5A9D" w:rsidP="005D5A9D"/>
        </w:tc>
      </w:tr>
    </w:tbl>
    <w:p w:rsidR="009106AD" w:rsidRDefault="005D5A9D">
      <w:pPr>
        <w:jc w:val="center"/>
      </w:pPr>
      <w:r>
        <w:rPr>
          <w:b/>
        </w:rPr>
        <w:t xml:space="preserve">  Bureau Valley CUSD #340</w:t>
      </w:r>
    </w:p>
    <w:p w:rsidR="009106AD" w:rsidRDefault="005D5A9D">
      <w:pPr>
        <w:jc w:val="center"/>
      </w:pPr>
      <w:r>
        <w:rPr>
          <w:b/>
        </w:rPr>
        <w:t xml:space="preserve">Guidelines for Data Collection for Student Growth </w:t>
      </w:r>
    </w:p>
    <w:p w:rsidR="009106AD" w:rsidRDefault="005D5A9D">
      <w:pPr>
        <w:jc w:val="center"/>
      </w:pPr>
      <w:r>
        <w:rPr>
          <w:b/>
        </w:rPr>
        <w:t>for Certified Teacher Evaluation Plan</w:t>
      </w:r>
    </w:p>
    <w:p w:rsidR="009106AD" w:rsidRDefault="009106AD"/>
    <w:p w:rsidR="009106AD" w:rsidRDefault="009106AD"/>
    <w:p w:rsidR="009106AD" w:rsidRDefault="005D5A9D">
      <w:r>
        <w:rPr>
          <w:rFonts w:ascii="Arial Narrow" w:eastAsia="Arial Narrow" w:hAnsi="Arial Narrow" w:cs="Arial Narrow"/>
        </w:rPr>
        <w:t>*RtI, Title I, Family/Consumer Science, Agriculture, Industrial Technology, Business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9106AD" w:rsidRDefault="009106AD"/>
    <w:p w:rsidR="009106AD" w:rsidRDefault="009106AD">
      <w:pPr>
        <w:jc w:val="center"/>
      </w:pPr>
    </w:p>
    <w:p w:rsidR="009106AD" w:rsidRDefault="009106AD">
      <w:pPr>
        <w:jc w:val="center"/>
      </w:pPr>
    </w:p>
    <w:p w:rsidR="009106AD" w:rsidRDefault="009106AD"/>
    <w:p w:rsidR="009106AD" w:rsidRDefault="005D5A9D">
      <w:pPr>
        <w:jc w:val="center"/>
      </w:pPr>
      <w:r>
        <w:rPr>
          <w:rFonts w:ascii="Arial Narrow" w:eastAsia="Arial Narrow" w:hAnsi="Arial Narrow" w:cs="Arial Narrow"/>
          <w:b/>
          <w:sz w:val="24"/>
          <w:szCs w:val="24"/>
        </w:rPr>
        <w:t>**Special Circumstances for Data Collection</w:t>
      </w:r>
    </w:p>
    <w:tbl>
      <w:tblPr>
        <w:tblStyle w:val="a0"/>
        <w:tblpPr w:leftFromText="180" w:rightFromText="180" w:vertAnchor="text" w:horzAnchor="margin" w:tblpXSpec="center" w:tblpY="526"/>
        <w:tblW w:w="12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9940"/>
      </w:tblGrid>
      <w:tr w:rsidR="005D5A9D" w:rsidTr="005D5A9D">
        <w:trPr>
          <w:trHeight w:val="420"/>
        </w:trPr>
        <w:tc>
          <w:tcPr>
            <w:tcW w:w="240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Teacher Type</w:t>
            </w:r>
          </w:p>
        </w:tc>
        <w:tc>
          <w:tcPr>
            <w:tcW w:w="9940" w:type="dxa"/>
            <w:tcMar>
              <w:top w:w="100" w:type="dxa"/>
              <w:left w:w="100" w:type="dxa"/>
              <w:bottom w:w="100" w:type="dxa"/>
              <w:right w:w="100" w:type="dxa"/>
            </w:tcMar>
          </w:tcPr>
          <w:p w:rsidR="005D5A9D" w:rsidRDefault="005D5A9D" w:rsidP="005D5A9D">
            <w:pPr>
              <w:ind w:left="360"/>
            </w:pPr>
            <w:r>
              <w:rPr>
                <w:rFonts w:ascii="Arial Narrow" w:eastAsia="Arial Narrow" w:hAnsi="Arial Narrow" w:cs="Arial Narrow"/>
                <w:b/>
              </w:rPr>
              <w:t>Special Circumstances</w:t>
            </w:r>
          </w:p>
        </w:tc>
      </w:tr>
      <w:tr w:rsidR="005D5A9D" w:rsidTr="005D5A9D">
        <w:tc>
          <w:tcPr>
            <w:tcW w:w="240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Non-Tenured</w:t>
            </w:r>
          </w:p>
          <w:p w:rsidR="005D5A9D" w:rsidRDefault="005D5A9D" w:rsidP="005D5A9D">
            <w:pPr>
              <w:widowControl w:val="0"/>
              <w:spacing w:line="240" w:lineRule="auto"/>
            </w:pPr>
            <w:r>
              <w:rPr>
                <w:rFonts w:ascii="Arial Narrow" w:eastAsia="Arial Narrow" w:hAnsi="Arial Narrow" w:cs="Arial Narrow"/>
                <w:b/>
              </w:rPr>
              <w:t>(1st and 2nd Year in District)</w:t>
            </w:r>
          </w:p>
        </w:tc>
        <w:tc>
          <w:tcPr>
            <w:tcW w:w="9940" w:type="dxa"/>
            <w:tcMar>
              <w:top w:w="100" w:type="dxa"/>
              <w:left w:w="100" w:type="dxa"/>
              <w:bottom w:w="100" w:type="dxa"/>
              <w:right w:w="100" w:type="dxa"/>
            </w:tcMar>
          </w:tcPr>
          <w:p w:rsidR="005D5A9D" w:rsidRDefault="005D5A9D" w:rsidP="005D5A9D">
            <w:pPr>
              <w:widowControl w:val="0"/>
              <w:numPr>
                <w:ilvl w:val="0"/>
                <w:numId w:val="3"/>
              </w:numPr>
              <w:ind w:hanging="360"/>
              <w:contextualSpacing/>
              <w:rPr>
                <w:rFonts w:ascii="Arial Narrow" w:eastAsia="Arial Narrow" w:hAnsi="Arial Narrow" w:cs="Arial Narrow"/>
              </w:rPr>
            </w:pPr>
            <w:r>
              <w:rPr>
                <w:rFonts w:ascii="Arial Narrow" w:eastAsia="Arial Narrow" w:hAnsi="Arial Narrow" w:cs="Arial Narrow"/>
              </w:rPr>
              <w:t>Will use current year data but work towards using prior year.</w:t>
            </w:r>
          </w:p>
          <w:p w:rsidR="005D5A9D" w:rsidRDefault="005D5A9D" w:rsidP="005D5A9D">
            <w:pPr>
              <w:widowControl w:val="0"/>
              <w:numPr>
                <w:ilvl w:val="0"/>
                <w:numId w:val="3"/>
              </w:numPr>
              <w:ind w:hanging="360"/>
              <w:contextualSpacing/>
              <w:rPr>
                <w:rFonts w:ascii="Arial Narrow" w:eastAsia="Arial Narrow" w:hAnsi="Arial Narrow" w:cs="Arial Narrow"/>
              </w:rPr>
            </w:pPr>
            <w:r>
              <w:rPr>
                <w:rFonts w:ascii="Arial Narrow" w:eastAsia="Arial Narrow" w:hAnsi="Arial Narrow" w:cs="Arial Narrow"/>
              </w:rPr>
              <w:t>Will have shorter testing window and will/may adjust scoring based on material taught during that window.</w:t>
            </w:r>
          </w:p>
          <w:p w:rsidR="005D5A9D" w:rsidRDefault="005D5A9D" w:rsidP="005D5A9D">
            <w:pPr>
              <w:widowControl w:val="0"/>
              <w:numPr>
                <w:ilvl w:val="0"/>
                <w:numId w:val="3"/>
              </w:numPr>
              <w:ind w:hanging="360"/>
              <w:contextualSpacing/>
              <w:rPr>
                <w:rFonts w:ascii="Arial Narrow" w:eastAsia="Arial Narrow" w:hAnsi="Arial Narrow" w:cs="Arial Narrow"/>
              </w:rPr>
            </w:pPr>
            <w:r>
              <w:rPr>
                <w:rFonts w:ascii="Arial Narrow" w:eastAsia="Arial Narrow" w:hAnsi="Arial Narrow" w:cs="Arial Narrow"/>
              </w:rPr>
              <w:t>First year: use current year data and complete SLO; must have three data points before January.</w:t>
            </w:r>
          </w:p>
          <w:p w:rsidR="005D5A9D" w:rsidRDefault="005D5A9D" w:rsidP="005D5A9D">
            <w:pPr>
              <w:widowControl w:val="0"/>
              <w:numPr>
                <w:ilvl w:val="0"/>
                <w:numId w:val="3"/>
              </w:numPr>
              <w:ind w:hanging="360"/>
              <w:contextualSpacing/>
              <w:rPr>
                <w:rFonts w:ascii="Arial Narrow" w:eastAsia="Arial Narrow" w:hAnsi="Arial Narrow" w:cs="Arial Narrow"/>
              </w:rPr>
            </w:pPr>
            <w:r>
              <w:rPr>
                <w:rFonts w:ascii="Arial Narrow" w:eastAsia="Arial Narrow" w:hAnsi="Arial Narrow" w:cs="Arial Narrow"/>
              </w:rPr>
              <w:t>Second year: use current year data and complete SLO; must have three data points before January.</w:t>
            </w:r>
          </w:p>
          <w:p w:rsidR="005D5A9D" w:rsidRDefault="005D5A9D" w:rsidP="005D5A9D">
            <w:pPr>
              <w:widowControl w:val="0"/>
              <w:numPr>
                <w:ilvl w:val="1"/>
                <w:numId w:val="3"/>
              </w:numPr>
              <w:ind w:hanging="360"/>
              <w:contextualSpacing/>
              <w:rPr>
                <w:rFonts w:ascii="Arial Narrow" w:eastAsia="Arial Narrow" w:hAnsi="Arial Narrow" w:cs="Arial Narrow"/>
              </w:rPr>
            </w:pPr>
            <w:r>
              <w:rPr>
                <w:rFonts w:ascii="Arial Narrow" w:eastAsia="Arial Narrow" w:hAnsi="Arial Narrow" w:cs="Arial Narrow"/>
              </w:rPr>
              <w:t>May also take an additional fourth data point after January (if one is indicated in your approved assessment’s dates) and modify current SLO for year three.</w:t>
            </w:r>
          </w:p>
          <w:p w:rsidR="005D5A9D" w:rsidRDefault="005D5A9D" w:rsidP="005D5A9D">
            <w:pPr>
              <w:widowControl w:val="0"/>
              <w:numPr>
                <w:ilvl w:val="0"/>
                <w:numId w:val="3"/>
              </w:numPr>
              <w:ind w:hanging="360"/>
              <w:contextualSpacing/>
              <w:rPr>
                <w:rFonts w:ascii="Arial Narrow" w:eastAsia="Arial Narrow" w:hAnsi="Arial Narrow" w:cs="Arial Narrow"/>
              </w:rPr>
            </w:pPr>
            <w:r>
              <w:rPr>
                <w:rFonts w:ascii="Arial Narrow" w:eastAsia="Arial Narrow" w:hAnsi="Arial Narrow" w:cs="Arial Narrow"/>
              </w:rPr>
              <w:t>Third year: use the data from the second year (normal approved assessment data points) for the third year’s evaluation.</w:t>
            </w:r>
          </w:p>
          <w:p w:rsidR="005D5A9D" w:rsidRDefault="005D5A9D" w:rsidP="005D5A9D">
            <w:pPr>
              <w:widowControl w:val="0"/>
              <w:numPr>
                <w:ilvl w:val="1"/>
                <w:numId w:val="3"/>
              </w:numPr>
              <w:ind w:hanging="360"/>
              <w:contextualSpacing/>
              <w:rPr>
                <w:rFonts w:ascii="Arial Narrow" w:eastAsia="Arial Narrow" w:hAnsi="Arial Narrow" w:cs="Arial Narrow"/>
              </w:rPr>
            </w:pPr>
            <w:r>
              <w:rPr>
                <w:rFonts w:ascii="Arial Narrow" w:eastAsia="Arial Narrow" w:hAnsi="Arial Narrow" w:cs="Arial Narrow"/>
              </w:rPr>
              <w:t>Will take data and complete SLO for fourth year.</w:t>
            </w:r>
          </w:p>
          <w:p w:rsidR="005D5A9D" w:rsidRDefault="005D5A9D" w:rsidP="005D5A9D">
            <w:pPr>
              <w:widowControl w:val="0"/>
              <w:numPr>
                <w:ilvl w:val="1"/>
                <w:numId w:val="3"/>
              </w:numPr>
              <w:ind w:hanging="360"/>
              <w:contextualSpacing/>
              <w:rPr>
                <w:rFonts w:ascii="Arial Narrow" w:eastAsia="Arial Narrow" w:hAnsi="Arial Narrow" w:cs="Arial Narrow"/>
              </w:rPr>
            </w:pPr>
            <w:r>
              <w:rPr>
                <w:rFonts w:ascii="Arial Narrow" w:eastAsia="Arial Narrow" w:hAnsi="Arial Narrow" w:cs="Arial Narrow"/>
              </w:rPr>
              <w:t>Will then be on cycle with using prior year’s data.</w:t>
            </w:r>
          </w:p>
        </w:tc>
      </w:tr>
      <w:tr w:rsidR="005D5A9D" w:rsidTr="005D5A9D">
        <w:tc>
          <w:tcPr>
            <w:tcW w:w="2400"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t>Non-Tenured</w:t>
            </w:r>
          </w:p>
          <w:p w:rsidR="005D5A9D" w:rsidRDefault="005D5A9D" w:rsidP="005D5A9D">
            <w:pPr>
              <w:widowControl w:val="0"/>
              <w:spacing w:line="240" w:lineRule="auto"/>
            </w:pPr>
            <w:r>
              <w:rPr>
                <w:rFonts w:ascii="Arial Narrow" w:eastAsia="Arial Narrow" w:hAnsi="Arial Narrow" w:cs="Arial Narrow"/>
                <w:b/>
              </w:rPr>
              <w:t>(Years 3-4 in District)</w:t>
            </w:r>
          </w:p>
        </w:tc>
        <w:tc>
          <w:tcPr>
            <w:tcW w:w="9940" w:type="dxa"/>
            <w:tcMar>
              <w:top w:w="100" w:type="dxa"/>
              <w:left w:w="100" w:type="dxa"/>
              <w:bottom w:w="100" w:type="dxa"/>
              <w:right w:w="100" w:type="dxa"/>
            </w:tcMar>
          </w:tcPr>
          <w:p w:rsidR="005D5A9D" w:rsidRDefault="005D5A9D" w:rsidP="005D5A9D">
            <w:r>
              <w:rPr>
                <w:rFonts w:ascii="Arial Narrow" w:eastAsia="Arial Narrow" w:hAnsi="Arial Narrow" w:cs="Arial Narrow"/>
              </w:rPr>
              <w:t>For year 2016-2017 evaluation:</w:t>
            </w:r>
          </w:p>
          <w:p w:rsidR="005D5A9D" w:rsidRDefault="005D5A9D" w:rsidP="005D5A9D">
            <w:pPr>
              <w:widowControl w:val="0"/>
              <w:numPr>
                <w:ilvl w:val="0"/>
                <w:numId w:val="4"/>
              </w:numPr>
              <w:ind w:hanging="360"/>
              <w:contextualSpacing/>
              <w:rPr>
                <w:rFonts w:ascii="Arial Narrow" w:eastAsia="Arial Narrow" w:hAnsi="Arial Narrow" w:cs="Arial Narrow"/>
              </w:rPr>
            </w:pPr>
            <w:r>
              <w:rPr>
                <w:rFonts w:ascii="Arial Narrow" w:eastAsia="Arial Narrow" w:hAnsi="Arial Narrow" w:cs="Arial Narrow"/>
              </w:rPr>
              <w:t>Use previous year’s data.</w:t>
            </w:r>
          </w:p>
          <w:p w:rsidR="005D5A9D" w:rsidRDefault="005D5A9D" w:rsidP="005D5A9D">
            <w:pPr>
              <w:widowControl w:val="0"/>
              <w:numPr>
                <w:ilvl w:val="0"/>
                <w:numId w:val="4"/>
              </w:numPr>
              <w:ind w:hanging="360"/>
              <w:contextualSpacing/>
              <w:rPr>
                <w:rFonts w:ascii="Arial Narrow" w:eastAsia="Arial Narrow" w:hAnsi="Arial Narrow" w:cs="Arial Narrow"/>
              </w:rPr>
            </w:pPr>
            <w:r>
              <w:rPr>
                <w:rFonts w:ascii="Arial Narrow" w:eastAsia="Arial Narrow" w:hAnsi="Arial Narrow" w:cs="Arial Narrow"/>
              </w:rPr>
              <w:t>If no data is available or you choose not to use the previous year’s data from the 2015-2016 school year,</w:t>
            </w:r>
          </w:p>
          <w:p w:rsidR="005D5A9D" w:rsidRDefault="005D5A9D" w:rsidP="005D5A9D">
            <w:pPr>
              <w:widowControl w:val="0"/>
              <w:numPr>
                <w:ilvl w:val="1"/>
                <w:numId w:val="4"/>
              </w:numPr>
              <w:ind w:hanging="360"/>
              <w:contextualSpacing/>
              <w:rPr>
                <w:rFonts w:ascii="Arial Narrow" w:eastAsia="Arial Narrow" w:hAnsi="Arial Narrow" w:cs="Arial Narrow"/>
              </w:rPr>
            </w:pPr>
            <w:r>
              <w:rPr>
                <w:rFonts w:ascii="Arial Narrow" w:eastAsia="Arial Narrow" w:hAnsi="Arial Narrow" w:cs="Arial Narrow"/>
              </w:rPr>
              <w:t>you will use current year data for the 2016-2017 evaluation.</w:t>
            </w:r>
          </w:p>
          <w:p w:rsidR="005D5A9D" w:rsidRDefault="005D5A9D" w:rsidP="005D5A9D">
            <w:pPr>
              <w:widowControl w:val="0"/>
              <w:numPr>
                <w:ilvl w:val="2"/>
                <w:numId w:val="4"/>
              </w:numPr>
              <w:ind w:hanging="360"/>
              <w:contextualSpacing/>
              <w:rPr>
                <w:rFonts w:ascii="Arial Narrow" w:eastAsia="Arial Narrow" w:hAnsi="Arial Narrow" w:cs="Arial Narrow"/>
              </w:rPr>
            </w:pPr>
            <w:r>
              <w:rPr>
                <w:rFonts w:ascii="Arial Narrow" w:eastAsia="Arial Narrow" w:hAnsi="Arial Narrow" w:cs="Arial Narrow"/>
              </w:rPr>
              <w:t>Must have three data points before January.</w:t>
            </w:r>
          </w:p>
          <w:p w:rsidR="005D5A9D" w:rsidRDefault="005D5A9D" w:rsidP="005D5A9D">
            <w:pPr>
              <w:widowControl w:val="0"/>
              <w:numPr>
                <w:ilvl w:val="2"/>
                <w:numId w:val="4"/>
              </w:numPr>
              <w:ind w:hanging="360"/>
              <w:contextualSpacing/>
              <w:rPr>
                <w:rFonts w:ascii="Arial Narrow" w:eastAsia="Arial Narrow" w:hAnsi="Arial Narrow" w:cs="Arial Narrow"/>
              </w:rPr>
            </w:pPr>
            <w:r>
              <w:rPr>
                <w:rFonts w:ascii="Arial Narrow" w:eastAsia="Arial Narrow" w:hAnsi="Arial Narrow" w:cs="Arial Narrow"/>
              </w:rPr>
              <w:t>Will have shorter testing window and will/may adjust scoring based on material taught during that window.</w:t>
            </w:r>
          </w:p>
          <w:p w:rsidR="005D5A9D" w:rsidRDefault="005D5A9D" w:rsidP="005D5A9D">
            <w:pPr>
              <w:widowControl w:val="0"/>
              <w:numPr>
                <w:ilvl w:val="2"/>
                <w:numId w:val="4"/>
              </w:numPr>
              <w:ind w:hanging="360"/>
              <w:contextualSpacing/>
              <w:rPr>
                <w:rFonts w:ascii="Arial Narrow" w:eastAsia="Arial Narrow" w:hAnsi="Arial Narrow" w:cs="Arial Narrow"/>
              </w:rPr>
            </w:pPr>
            <w:r>
              <w:rPr>
                <w:rFonts w:ascii="Arial Narrow" w:eastAsia="Arial Narrow" w:hAnsi="Arial Narrow" w:cs="Arial Narrow"/>
              </w:rPr>
              <w:t>Current third year teachers must have three data points before January.</w:t>
            </w:r>
          </w:p>
          <w:p w:rsidR="005D5A9D" w:rsidRDefault="005D5A9D" w:rsidP="005D5A9D">
            <w:pPr>
              <w:widowControl w:val="0"/>
              <w:numPr>
                <w:ilvl w:val="3"/>
                <w:numId w:val="4"/>
              </w:numPr>
              <w:ind w:hanging="360"/>
              <w:contextualSpacing/>
              <w:rPr>
                <w:rFonts w:ascii="Arial Narrow" w:eastAsia="Arial Narrow" w:hAnsi="Arial Narrow" w:cs="Arial Narrow"/>
              </w:rPr>
            </w:pPr>
            <w:r>
              <w:rPr>
                <w:rFonts w:ascii="Arial Narrow" w:eastAsia="Arial Narrow" w:hAnsi="Arial Narrow" w:cs="Arial Narrow"/>
              </w:rPr>
              <w:t>May also take an additional fourth data point after January (if one is indicated in your approved assessment’s dates) and modify current SLO for year four.</w:t>
            </w:r>
          </w:p>
          <w:p w:rsidR="005D5A9D" w:rsidRDefault="005D5A9D" w:rsidP="005D5A9D">
            <w:pPr>
              <w:widowControl w:val="0"/>
              <w:numPr>
                <w:ilvl w:val="3"/>
                <w:numId w:val="4"/>
              </w:numPr>
              <w:ind w:hanging="360"/>
              <w:contextualSpacing/>
              <w:rPr>
                <w:rFonts w:ascii="Arial Narrow" w:eastAsia="Arial Narrow" w:hAnsi="Arial Narrow" w:cs="Arial Narrow"/>
              </w:rPr>
            </w:pPr>
            <w:r>
              <w:rPr>
                <w:rFonts w:ascii="Arial Narrow" w:eastAsia="Arial Narrow" w:hAnsi="Arial Narrow" w:cs="Arial Narrow"/>
              </w:rPr>
              <w:t>Will then be on cycle for using prior year’s data (approved common assessment data points) for the 2017-2018 evaluation.</w:t>
            </w:r>
          </w:p>
          <w:p w:rsidR="005D5A9D" w:rsidRDefault="005D5A9D" w:rsidP="005D5A9D">
            <w:pPr>
              <w:widowControl w:val="0"/>
              <w:numPr>
                <w:ilvl w:val="2"/>
                <w:numId w:val="4"/>
              </w:numPr>
              <w:ind w:hanging="360"/>
              <w:contextualSpacing/>
              <w:rPr>
                <w:rFonts w:ascii="Arial Narrow" w:eastAsia="Arial Narrow" w:hAnsi="Arial Narrow" w:cs="Arial Narrow"/>
              </w:rPr>
            </w:pPr>
            <w:r>
              <w:rPr>
                <w:rFonts w:ascii="Arial Narrow" w:eastAsia="Arial Narrow" w:hAnsi="Arial Narrow" w:cs="Arial Narrow"/>
              </w:rPr>
              <w:t>Current fourth year teachers should use data and complete the SLO process during the 2017-2018 school year for their next eval cycle (2018-2019).</w:t>
            </w:r>
          </w:p>
        </w:tc>
      </w:tr>
    </w:tbl>
    <w:p w:rsidR="009106AD" w:rsidRDefault="009106AD">
      <w:pPr>
        <w:jc w:val="center"/>
      </w:pPr>
    </w:p>
    <w:p w:rsidR="009106AD" w:rsidRDefault="009106AD">
      <w:pPr>
        <w:jc w:val="center"/>
      </w:pPr>
    </w:p>
    <w:p w:rsidR="009106AD" w:rsidRDefault="005D5A9D">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9106AD" w:rsidRDefault="009106AD"/>
    <w:p w:rsidR="009106AD" w:rsidRDefault="009106AD"/>
    <w:p w:rsidR="009106AD" w:rsidRDefault="009106AD"/>
    <w:p w:rsidR="009106AD" w:rsidRDefault="009106AD"/>
    <w:p w:rsidR="009106AD" w:rsidRDefault="009106AD"/>
    <w:p w:rsidR="009106AD" w:rsidRDefault="009106AD"/>
    <w:tbl>
      <w:tblPr>
        <w:tblStyle w:val="a1"/>
        <w:tblpPr w:leftFromText="180" w:rightFromText="180" w:vertAnchor="page" w:horzAnchor="margin" w:tblpY="948"/>
        <w:tblW w:w="12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0015"/>
      </w:tblGrid>
      <w:tr w:rsidR="005D5A9D" w:rsidTr="005D5A9D">
        <w:tc>
          <w:tcPr>
            <w:tcW w:w="2055" w:type="dxa"/>
            <w:tcMar>
              <w:top w:w="100" w:type="dxa"/>
              <w:left w:w="100" w:type="dxa"/>
              <w:bottom w:w="100" w:type="dxa"/>
              <w:right w:w="100" w:type="dxa"/>
            </w:tcMar>
          </w:tcPr>
          <w:p w:rsidR="005D5A9D" w:rsidRDefault="005D5A9D" w:rsidP="005D5A9D">
            <w:pPr>
              <w:widowControl w:val="0"/>
              <w:spacing w:line="240" w:lineRule="auto"/>
            </w:pPr>
            <w:r>
              <w:rPr>
                <w:rFonts w:ascii="Arial Narrow" w:eastAsia="Arial Narrow" w:hAnsi="Arial Narrow" w:cs="Arial Narrow"/>
                <w:b/>
              </w:rPr>
              <w:lastRenderedPageBreak/>
              <w:t>Tenured</w:t>
            </w:r>
          </w:p>
        </w:tc>
        <w:tc>
          <w:tcPr>
            <w:tcW w:w="10015" w:type="dxa"/>
            <w:tcMar>
              <w:top w:w="100" w:type="dxa"/>
              <w:left w:w="100" w:type="dxa"/>
              <w:bottom w:w="100" w:type="dxa"/>
              <w:right w:w="100" w:type="dxa"/>
            </w:tcMar>
          </w:tcPr>
          <w:p w:rsidR="005D5A9D" w:rsidRDefault="005D5A9D" w:rsidP="005D5A9D">
            <w:r>
              <w:rPr>
                <w:rFonts w:ascii="Arial Narrow" w:eastAsia="Arial Narrow" w:hAnsi="Arial Narrow" w:cs="Arial Narrow"/>
              </w:rPr>
              <w:t>For year 2016-2017 evaluation:</w:t>
            </w:r>
          </w:p>
          <w:p w:rsidR="005D5A9D" w:rsidRDefault="005D5A9D" w:rsidP="005D5A9D">
            <w:pPr>
              <w:widowControl w:val="0"/>
              <w:numPr>
                <w:ilvl w:val="0"/>
                <w:numId w:val="2"/>
              </w:numPr>
              <w:ind w:hanging="360"/>
              <w:contextualSpacing/>
              <w:rPr>
                <w:rFonts w:ascii="Arial Narrow" w:eastAsia="Arial Narrow" w:hAnsi="Arial Narrow" w:cs="Arial Narrow"/>
              </w:rPr>
            </w:pPr>
            <w:r>
              <w:rPr>
                <w:rFonts w:ascii="Arial Narrow" w:eastAsia="Arial Narrow" w:hAnsi="Arial Narrow" w:cs="Arial Narrow"/>
              </w:rPr>
              <w:t>Use previous year’s data</w:t>
            </w:r>
          </w:p>
          <w:p w:rsidR="005D5A9D" w:rsidRDefault="005D5A9D" w:rsidP="005D5A9D">
            <w:pPr>
              <w:widowControl w:val="0"/>
              <w:numPr>
                <w:ilvl w:val="0"/>
                <w:numId w:val="2"/>
              </w:numPr>
              <w:ind w:hanging="360"/>
              <w:contextualSpacing/>
              <w:rPr>
                <w:rFonts w:ascii="Arial Narrow" w:eastAsia="Arial Narrow" w:hAnsi="Arial Narrow" w:cs="Arial Narrow"/>
              </w:rPr>
            </w:pPr>
            <w:r>
              <w:rPr>
                <w:rFonts w:ascii="Arial Narrow" w:eastAsia="Arial Narrow" w:hAnsi="Arial Narrow" w:cs="Arial Narrow"/>
              </w:rPr>
              <w:t xml:space="preserve">If no data is available or you choose not to use the previous year’s data from the 2015-2016 school year, </w:t>
            </w:r>
          </w:p>
          <w:p w:rsidR="005D5A9D" w:rsidRDefault="005D5A9D" w:rsidP="005D5A9D">
            <w:pPr>
              <w:widowControl w:val="0"/>
              <w:numPr>
                <w:ilvl w:val="1"/>
                <w:numId w:val="2"/>
              </w:numPr>
              <w:ind w:hanging="360"/>
              <w:contextualSpacing/>
              <w:rPr>
                <w:rFonts w:ascii="Arial Narrow" w:eastAsia="Arial Narrow" w:hAnsi="Arial Narrow" w:cs="Arial Narrow"/>
              </w:rPr>
            </w:pPr>
            <w:r>
              <w:rPr>
                <w:rFonts w:ascii="Arial Narrow" w:eastAsia="Arial Narrow" w:hAnsi="Arial Narrow" w:cs="Arial Narrow"/>
              </w:rPr>
              <w:t>Will use current year data for the 2016-2017 evaluation.</w:t>
            </w:r>
          </w:p>
          <w:p w:rsidR="005D5A9D" w:rsidRDefault="005D5A9D" w:rsidP="005D5A9D">
            <w:pPr>
              <w:widowControl w:val="0"/>
              <w:numPr>
                <w:ilvl w:val="1"/>
                <w:numId w:val="2"/>
              </w:numPr>
              <w:ind w:hanging="360"/>
              <w:contextualSpacing/>
              <w:rPr>
                <w:rFonts w:ascii="Arial Narrow" w:eastAsia="Arial Narrow" w:hAnsi="Arial Narrow" w:cs="Arial Narrow"/>
              </w:rPr>
            </w:pPr>
            <w:r>
              <w:rPr>
                <w:rFonts w:ascii="Arial Narrow" w:eastAsia="Arial Narrow" w:hAnsi="Arial Narrow" w:cs="Arial Narrow"/>
              </w:rPr>
              <w:t>Must have three data points before January.</w:t>
            </w:r>
          </w:p>
          <w:p w:rsidR="005D5A9D" w:rsidRDefault="005D5A9D" w:rsidP="005D5A9D">
            <w:pPr>
              <w:widowControl w:val="0"/>
              <w:numPr>
                <w:ilvl w:val="2"/>
                <w:numId w:val="2"/>
              </w:numPr>
              <w:ind w:hanging="360"/>
              <w:contextualSpacing/>
              <w:rPr>
                <w:rFonts w:ascii="Arial Narrow" w:eastAsia="Arial Narrow" w:hAnsi="Arial Narrow" w:cs="Arial Narrow"/>
              </w:rPr>
            </w:pPr>
            <w:r>
              <w:rPr>
                <w:rFonts w:ascii="Arial Narrow" w:eastAsia="Arial Narrow" w:hAnsi="Arial Narrow" w:cs="Arial Narrow"/>
              </w:rPr>
              <w:t>Will have shorter testing window and will/may adjust scoring based on material taught during that window.</w:t>
            </w:r>
          </w:p>
          <w:p w:rsidR="005D5A9D" w:rsidRDefault="005D5A9D" w:rsidP="005D5A9D">
            <w:pPr>
              <w:widowControl w:val="0"/>
              <w:numPr>
                <w:ilvl w:val="2"/>
                <w:numId w:val="2"/>
              </w:numPr>
              <w:ind w:hanging="360"/>
              <w:contextualSpacing/>
              <w:rPr>
                <w:rFonts w:ascii="Arial Narrow" w:eastAsia="Arial Narrow" w:hAnsi="Arial Narrow" w:cs="Arial Narrow"/>
              </w:rPr>
            </w:pPr>
            <w:r>
              <w:rPr>
                <w:rFonts w:ascii="Arial Narrow" w:eastAsia="Arial Narrow" w:hAnsi="Arial Narrow" w:cs="Arial Narrow"/>
              </w:rPr>
              <w:t>Will take data in the 2017-2018 for next eval cycle.</w:t>
            </w:r>
          </w:p>
          <w:p w:rsidR="005D5A9D" w:rsidRDefault="005D5A9D" w:rsidP="005D5A9D">
            <w:pPr>
              <w:widowControl w:val="0"/>
            </w:pPr>
            <w:r>
              <w:rPr>
                <w:rFonts w:ascii="Arial Narrow" w:eastAsia="Arial Narrow" w:hAnsi="Arial Narrow" w:cs="Arial Narrow"/>
                <w:b/>
              </w:rPr>
              <w:t>For tenured teacher’s evaluated during the 2017-2018 school year:</w:t>
            </w:r>
          </w:p>
          <w:p w:rsidR="005D5A9D" w:rsidRDefault="005D5A9D" w:rsidP="005D5A9D">
            <w:pPr>
              <w:widowControl w:val="0"/>
              <w:numPr>
                <w:ilvl w:val="0"/>
                <w:numId w:val="1"/>
              </w:numPr>
              <w:ind w:hanging="360"/>
              <w:contextualSpacing/>
              <w:rPr>
                <w:rFonts w:ascii="Arial Narrow" w:eastAsia="Arial Narrow" w:hAnsi="Arial Narrow" w:cs="Arial Narrow"/>
              </w:rPr>
            </w:pPr>
            <w:r>
              <w:rPr>
                <w:rFonts w:ascii="Arial Narrow" w:eastAsia="Arial Narrow" w:hAnsi="Arial Narrow" w:cs="Arial Narrow"/>
              </w:rPr>
              <w:t>Use data collected and complete the SLO process during 2016-2017 school year for the evaluation taking place in 2017-2018 school year.</w:t>
            </w:r>
          </w:p>
        </w:tc>
      </w:tr>
    </w:tbl>
    <w:p w:rsidR="009106AD" w:rsidRDefault="009106AD"/>
    <w:p w:rsidR="009106AD" w:rsidRDefault="005D5A9D">
      <w:pPr>
        <w:ind w:left="10800"/>
      </w:pPr>
      <w:r>
        <w:rPr>
          <w:rFonts w:ascii="Arial Narrow" w:eastAsia="Arial Narrow" w:hAnsi="Arial Narrow" w:cs="Arial Narrow"/>
        </w:rPr>
        <w:t>February 8, 2016</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sectPr w:rsidR="009106AD" w:rsidSect="005D5A9D">
      <w:pgSz w:w="15840" w:h="12240" w:orient="landscape"/>
      <w:pgMar w:top="720" w:right="1152" w:bottom="720" w:left="1152" w:header="720" w:footer="720" w:gutter="0"/>
      <w:pgNumType w:start="1"/>
      <w:cols w:space="720" w:equalWidth="0">
        <w:col w:w="89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AAD"/>
    <w:multiLevelType w:val="multilevel"/>
    <w:tmpl w:val="E04091AC"/>
    <w:lvl w:ilvl="0">
      <w:start w:val="1"/>
      <w:numFmt w:val="bullet"/>
      <w:lvlText w:val="●"/>
      <w:lvlJc w:val="right"/>
      <w:pPr>
        <w:ind w:left="720" w:firstLine="360"/>
      </w:pPr>
      <w:rPr>
        <w:rFonts w:ascii="Roboto" w:eastAsia="Roboto" w:hAnsi="Roboto" w:cs="Roboto"/>
        <w:b w:val="0"/>
        <w:i w:val="0"/>
        <w:smallCaps w:val="0"/>
        <w:strike w:val="0"/>
        <w:color w:val="737373"/>
        <w:sz w:val="36"/>
        <w:szCs w:val="36"/>
        <w:u w:val="none"/>
        <w:vertAlign w:val="baseline"/>
      </w:rPr>
    </w:lvl>
    <w:lvl w:ilvl="1">
      <w:start w:val="1"/>
      <w:numFmt w:val="bullet"/>
      <w:lvlText w:val="○"/>
      <w:lvlJc w:val="right"/>
      <w:pPr>
        <w:ind w:left="1440" w:firstLine="1080"/>
      </w:pPr>
      <w:rPr>
        <w:rFonts w:ascii="Roboto" w:eastAsia="Roboto" w:hAnsi="Roboto" w:cs="Roboto"/>
        <w:b w:val="0"/>
        <w:i w:val="0"/>
        <w:smallCaps w:val="0"/>
        <w:strike w:val="0"/>
        <w:color w:val="737373"/>
        <w:sz w:val="28"/>
        <w:szCs w:val="28"/>
        <w:u w:val="none"/>
        <w:vertAlign w:val="baseline"/>
      </w:rPr>
    </w:lvl>
    <w:lvl w:ilvl="2">
      <w:start w:val="1"/>
      <w:numFmt w:val="bullet"/>
      <w:lvlText w:val="■"/>
      <w:lvlJc w:val="right"/>
      <w:pPr>
        <w:ind w:left="2160" w:firstLine="1800"/>
      </w:pPr>
      <w:rPr>
        <w:rFonts w:ascii="Roboto" w:eastAsia="Roboto" w:hAnsi="Roboto" w:cs="Roboto"/>
        <w:b w:val="0"/>
        <w:i w:val="0"/>
        <w:smallCaps w:val="0"/>
        <w:strike w:val="0"/>
        <w:color w:val="737373"/>
        <w:sz w:val="28"/>
        <w:szCs w:val="28"/>
        <w:u w:val="none"/>
        <w:vertAlign w:val="baseline"/>
      </w:rPr>
    </w:lvl>
    <w:lvl w:ilvl="3">
      <w:start w:val="1"/>
      <w:numFmt w:val="bullet"/>
      <w:lvlText w:val="●"/>
      <w:lvlJc w:val="right"/>
      <w:pPr>
        <w:ind w:left="2880" w:firstLine="2520"/>
      </w:pPr>
      <w:rPr>
        <w:rFonts w:ascii="Roboto" w:eastAsia="Roboto" w:hAnsi="Roboto" w:cs="Roboto"/>
        <w:b w:val="0"/>
        <w:i w:val="0"/>
        <w:smallCaps w:val="0"/>
        <w:strike w:val="0"/>
        <w:color w:val="737373"/>
        <w:sz w:val="28"/>
        <w:szCs w:val="28"/>
        <w:u w:val="none"/>
        <w:vertAlign w:val="baseline"/>
      </w:rPr>
    </w:lvl>
    <w:lvl w:ilvl="4">
      <w:start w:val="1"/>
      <w:numFmt w:val="bullet"/>
      <w:lvlText w:val="○"/>
      <w:lvlJc w:val="right"/>
      <w:pPr>
        <w:ind w:left="3600" w:firstLine="3240"/>
      </w:pPr>
      <w:rPr>
        <w:rFonts w:ascii="Roboto" w:eastAsia="Roboto" w:hAnsi="Roboto" w:cs="Roboto"/>
        <w:b w:val="0"/>
        <w:i w:val="0"/>
        <w:smallCaps w:val="0"/>
        <w:strike w:val="0"/>
        <w:color w:val="737373"/>
        <w:sz w:val="28"/>
        <w:szCs w:val="28"/>
        <w:u w:val="none"/>
        <w:vertAlign w:val="baseline"/>
      </w:rPr>
    </w:lvl>
    <w:lvl w:ilvl="5">
      <w:start w:val="1"/>
      <w:numFmt w:val="bullet"/>
      <w:lvlText w:val="■"/>
      <w:lvlJc w:val="right"/>
      <w:pPr>
        <w:ind w:left="4320" w:firstLine="3960"/>
      </w:pPr>
      <w:rPr>
        <w:rFonts w:ascii="Roboto" w:eastAsia="Roboto" w:hAnsi="Roboto" w:cs="Roboto"/>
        <w:b w:val="0"/>
        <w:i w:val="0"/>
        <w:smallCaps w:val="0"/>
        <w:strike w:val="0"/>
        <w:color w:val="737373"/>
        <w:sz w:val="28"/>
        <w:szCs w:val="28"/>
        <w:u w:val="none"/>
        <w:vertAlign w:val="baseline"/>
      </w:rPr>
    </w:lvl>
    <w:lvl w:ilvl="6">
      <w:start w:val="1"/>
      <w:numFmt w:val="bullet"/>
      <w:lvlText w:val="●"/>
      <w:lvlJc w:val="right"/>
      <w:pPr>
        <w:ind w:left="5040" w:firstLine="4680"/>
      </w:pPr>
      <w:rPr>
        <w:rFonts w:ascii="Roboto" w:eastAsia="Roboto" w:hAnsi="Roboto" w:cs="Roboto"/>
        <w:b w:val="0"/>
        <w:i w:val="0"/>
        <w:smallCaps w:val="0"/>
        <w:strike w:val="0"/>
        <w:color w:val="737373"/>
        <w:sz w:val="28"/>
        <w:szCs w:val="28"/>
        <w:u w:val="none"/>
        <w:vertAlign w:val="baseline"/>
      </w:rPr>
    </w:lvl>
    <w:lvl w:ilvl="7">
      <w:start w:val="1"/>
      <w:numFmt w:val="bullet"/>
      <w:lvlText w:val="○"/>
      <w:lvlJc w:val="right"/>
      <w:pPr>
        <w:ind w:left="5760" w:firstLine="5400"/>
      </w:pPr>
      <w:rPr>
        <w:rFonts w:ascii="Roboto" w:eastAsia="Roboto" w:hAnsi="Roboto" w:cs="Roboto"/>
        <w:b w:val="0"/>
        <w:i w:val="0"/>
        <w:smallCaps w:val="0"/>
        <w:strike w:val="0"/>
        <w:color w:val="737373"/>
        <w:sz w:val="28"/>
        <w:szCs w:val="28"/>
        <w:u w:val="none"/>
        <w:vertAlign w:val="baseline"/>
      </w:rPr>
    </w:lvl>
    <w:lvl w:ilvl="8">
      <w:start w:val="1"/>
      <w:numFmt w:val="bullet"/>
      <w:lvlText w:val="■"/>
      <w:lvlJc w:val="right"/>
      <w:pPr>
        <w:ind w:left="6480" w:firstLine="6120"/>
      </w:pPr>
      <w:rPr>
        <w:rFonts w:ascii="Roboto" w:eastAsia="Roboto" w:hAnsi="Roboto" w:cs="Roboto"/>
        <w:b w:val="0"/>
        <w:i w:val="0"/>
        <w:smallCaps w:val="0"/>
        <w:strike w:val="0"/>
        <w:color w:val="737373"/>
        <w:sz w:val="28"/>
        <w:szCs w:val="28"/>
        <w:u w:val="none"/>
        <w:vertAlign w:val="baseline"/>
      </w:rPr>
    </w:lvl>
  </w:abstractNum>
  <w:abstractNum w:abstractNumId="1">
    <w:nsid w:val="055A6A8F"/>
    <w:multiLevelType w:val="multilevel"/>
    <w:tmpl w:val="5D9CA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953DAC"/>
    <w:multiLevelType w:val="multilevel"/>
    <w:tmpl w:val="41EED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935D94"/>
    <w:multiLevelType w:val="multilevel"/>
    <w:tmpl w:val="8D349C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defaultTabStop w:val="720"/>
  <w:characterSpacingControl w:val="doNotCompress"/>
  <w:compat>
    <w:compatSetting w:name="compatibilityMode" w:uri="http://schemas.microsoft.com/office/word" w:val="14"/>
  </w:compat>
  <w:rsids>
    <w:rsidRoot w:val="009106AD"/>
    <w:rsid w:val="005D5A9D"/>
    <w:rsid w:val="007C67F5"/>
    <w:rsid w:val="0091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Sierens</dc:creator>
  <cp:lastModifiedBy>Karen Sierens</cp:lastModifiedBy>
  <cp:revision>2</cp:revision>
  <dcterms:created xsi:type="dcterms:W3CDTF">2016-05-26T14:00:00Z</dcterms:created>
  <dcterms:modified xsi:type="dcterms:W3CDTF">2016-05-26T14:00:00Z</dcterms:modified>
</cp:coreProperties>
</file>