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35" w:rsidRPr="009B5C35" w:rsidRDefault="009B5C35" w:rsidP="009B5C35">
      <w:pPr>
        <w:pStyle w:val="BodyText"/>
        <w:spacing w:line="247" w:lineRule="auto"/>
        <w:ind w:left="100" w:right="99"/>
        <w:jc w:val="center"/>
        <w:rPr>
          <w:b/>
          <w:sz w:val="28"/>
          <w:szCs w:val="28"/>
        </w:rPr>
      </w:pPr>
      <w:r w:rsidRPr="009B5C35">
        <w:rPr>
          <w:b/>
          <w:sz w:val="28"/>
          <w:szCs w:val="28"/>
        </w:rPr>
        <w:t>Iditarod Area School District</w:t>
      </w:r>
    </w:p>
    <w:p w:rsidR="009B5C35" w:rsidRDefault="009B5C35" w:rsidP="009B5C35">
      <w:pPr>
        <w:pStyle w:val="BodyText"/>
        <w:spacing w:line="247" w:lineRule="auto"/>
        <w:ind w:left="100" w:right="99"/>
        <w:jc w:val="both"/>
        <w:rPr>
          <w:b/>
        </w:rPr>
      </w:pPr>
    </w:p>
    <w:p w:rsidR="009B5C35" w:rsidRPr="009B5C35" w:rsidRDefault="009B5C35" w:rsidP="009B5C35">
      <w:pPr>
        <w:pStyle w:val="BodyText"/>
        <w:spacing w:line="247" w:lineRule="auto"/>
        <w:ind w:left="100" w:right="99"/>
        <w:jc w:val="both"/>
        <w:rPr>
          <w:b/>
        </w:rPr>
      </w:pPr>
      <w:r w:rsidRPr="009B5C35">
        <w:rPr>
          <w:b/>
        </w:rPr>
        <w:t xml:space="preserve">TITLE IX POLICY </w:t>
      </w:r>
    </w:p>
    <w:p w:rsidR="009B5C35" w:rsidRPr="009B5C35" w:rsidRDefault="009B5C35" w:rsidP="009B5C35">
      <w:pPr>
        <w:pStyle w:val="BodyText"/>
        <w:spacing w:line="247" w:lineRule="auto"/>
        <w:ind w:left="100" w:right="99"/>
        <w:jc w:val="both"/>
        <w:rPr>
          <w:b/>
        </w:rPr>
      </w:pPr>
    </w:p>
    <w:p w:rsidR="009B5C35" w:rsidRPr="009B5C35" w:rsidRDefault="009B5C35" w:rsidP="009B5C35">
      <w:pPr>
        <w:pStyle w:val="BodyText"/>
        <w:spacing w:line="247" w:lineRule="auto"/>
        <w:ind w:left="100" w:right="99"/>
        <w:jc w:val="both"/>
        <w:rPr>
          <w:b/>
          <w:u w:val="single"/>
        </w:rPr>
      </w:pPr>
      <w:r w:rsidRPr="009B5C35">
        <w:rPr>
          <w:b/>
          <w:u w:val="single"/>
        </w:rPr>
        <w:t>Definitions</w:t>
      </w:r>
    </w:p>
    <w:p w:rsidR="009B5C35" w:rsidRDefault="009B5C35" w:rsidP="009B5C35">
      <w:pPr>
        <w:pStyle w:val="BodyText"/>
        <w:spacing w:line="247" w:lineRule="auto"/>
        <w:ind w:left="100" w:right="99"/>
        <w:jc w:val="both"/>
      </w:pPr>
    </w:p>
    <w:p w:rsidR="009B5C35" w:rsidRDefault="009B5C35" w:rsidP="009B5C35">
      <w:pPr>
        <w:pStyle w:val="BodyText"/>
        <w:spacing w:line="247" w:lineRule="auto"/>
        <w:ind w:left="100" w:right="99"/>
        <w:jc w:val="both"/>
      </w:pPr>
      <w:r>
        <w:t>Complainant: A Complainant is an individual who alleges he/she/they is the victim of conduct that could constitute sexual harassment.</w:t>
      </w:r>
    </w:p>
    <w:p w:rsidR="009B5C35" w:rsidRDefault="009B5C35" w:rsidP="009B5C35">
      <w:pPr>
        <w:pStyle w:val="BodyText"/>
        <w:spacing w:before="11"/>
      </w:pPr>
    </w:p>
    <w:p w:rsidR="009B5C35" w:rsidRDefault="009B5C35" w:rsidP="009B5C35">
      <w:pPr>
        <w:pStyle w:val="BodyText"/>
        <w:spacing w:line="247" w:lineRule="auto"/>
        <w:ind w:left="100" w:right="98"/>
        <w:jc w:val="both"/>
      </w:pPr>
      <w:r>
        <w:t xml:space="preserve">Consent: Consent means affirmative, conscious, and voluntary agreement to engage in sexual activity. Both Parties must give affirmative consent to sexual activity. It is the responsibility of each person involved in the sexual activity to ensure that he/she/they has the affirmative consent of the other or others to engage in the sexual activity. Lack of protest, lack of resistance, </w:t>
      </w:r>
      <w:r>
        <w:rPr>
          <w:spacing w:val="-9"/>
        </w:rPr>
        <w:t xml:space="preserve">or </w:t>
      </w:r>
      <w:r>
        <w:t>silence do not indicate consent. Affirmative consent must be ongoing throughout a sexual activity and one can revoke his/her/their consent at any time. The existence of a dating relationship between the persons involved, or the fact of past sexual relations between them, is not an indicator of consent.</w:t>
      </w:r>
    </w:p>
    <w:p w:rsidR="009B5C35" w:rsidRDefault="009B5C35" w:rsidP="009B5C35">
      <w:pPr>
        <w:pStyle w:val="BodyText"/>
        <w:spacing w:before="3"/>
        <w:rPr>
          <w:sz w:val="25"/>
        </w:rPr>
      </w:pPr>
    </w:p>
    <w:p w:rsidR="009B5C35" w:rsidRDefault="009B5C35" w:rsidP="009B5C35">
      <w:pPr>
        <w:pStyle w:val="BodyText"/>
        <w:spacing w:line="247" w:lineRule="auto"/>
        <w:ind w:left="100" w:right="100"/>
        <w:jc w:val="both"/>
      </w:pPr>
      <w:r>
        <w:t xml:space="preserve">The Respondent’s belief that the Complainant consented will not provide a valid defense </w:t>
      </w:r>
      <w:r>
        <w:rPr>
          <w:spacing w:val="-3"/>
        </w:rPr>
        <w:t xml:space="preserve">unless </w:t>
      </w:r>
      <w:r>
        <w:t xml:space="preserve">the belief was actual and reasonable, based on the facts and circumstances the Respondent </w:t>
      </w:r>
      <w:r>
        <w:rPr>
          <w:spacing w:val="-4"/>
        </w:rPr>
        <w:t xml:space="preserve">knew, </w:t>
      </w:r>
      <w:r>
        <w:t>or reasonably should have known, at the time of the incident. A Respondent’s belief is not a</w:t>
      </w:r>
      <w:r>
        <w:rPr>
          <w:spacing w:val="-16"/>
        </w:rPr>
        <w:t xml:space="preserve"> </w:t>
      </w:r>
      <w:r>
        <w:t>valid defense where:</w:t>
      </w:r>
    </w:p>
    <w:p w:rsidR="009B5C35" w:rsidRDefault="009B5C35" w:rsidP="009B5C35">
      <w:pPr>
        <w:pStyle w:val="BodyText"/>
        <w:rPr>
          <w:sz w:val="25"/>
        </w:rPr>
      </w:pPr>
    </w:p>
    <w:p w:rsidR="009B5C35" w:rsidRDefault="009B5C35" w:rsidP="009B5C35">
      <w:pPr>
        <w:pStyle w:val="ListParagraph"/>
        <w:numPr>
          <w:ilvl w:val="0"/>
          <w:numId w:val="1"/>
        </w:numPr>
        <w:tabs>
          <w:tab w:val="left" w:pos="820"/>
        </w:tabs>
        <w:rPr>
          <w:sz w:val="24"/>
        </w:rPr>
      </w:pPr>
      <w:r>
        <w:rPr>
          <w:sz w:val="24"/>
        </w:rPr>
        <w:t>The Respondent’s belief arose from the Respondent’s own intoxication or</w:t>
      </w:r>
      <w:r>
        <w:rPr>
          <w:spacing w:val="-18"/>
          <w:sz w:val="24"/>
        </w:rPr>
        <w:t xml:space="preserve"> </w:t>
      </w:r>
      <w:r>
        <w:rPr>
          <w:sz w:val="24"/>
        </w:rPr>
        <w:t>recklessness;</w:t>
      </w:r>
    </w:p>
    <w:p w:rsidR="009B5C35" w:rsidRDefault="009B5C35" w:rsidP="009B5C35">
      <w:pPr>
        <w:pStyle w:val="ListParagraph"/>
        <w:numPr>
          <w:ilvl w:val="0"/>
          <w:numId w:val="1"/>
        </w:numPr>
        <w:tabs>
          <w:tab w:val="left" w:pos="820"/>
        </w:tabs>
        <w:spacing w:before="8" w:line="247" w:lineRule="auto"/>
        <w:ind w:right="107"/>
        <w:rPr>
          <w:sz w:val="24"/>
        </w:rPr>
      </w:pPr>
      <w:r>
        <w:rPr>
          <w:sz w:val="24"/>
        </w:rPr>
        <w:t>The Respondent did not take reasonable steps to ascertain whether the Complainant affirmatively consented;</w:t>
      </w:r>
      <w:r>
        <w:rPr>
          <w:spacing w:val="-1"/>
          <w:sz w:val="24"/>
        </w:rPr>
        <w:t xml:space="preserve"> </w:t>
      </w:r>
      <w:r>
        <w:rPr>
          <w:sz w:val="24"/>
        </w:rPr>
        <w:t>or</w:t>
      </w:r>
    </w:p>
    <w:p w:rsidR="009B5C35" w:rsidRDefault="009B5C35" w:rsidP="009B5C35">
      <w:pPr>
        <w:pStyle w:val="ListParagraph"/>
        <w:numPr>
          <w:ilvl w:val="0"/>
          <w:numId w:val="1"/>
        </w:numPr>
        <w:tabs>
          <w:tab w:val="left" w:pos="820"/>
        </w:tabs>
        <w:spacing w:line="247" w:lineRule="auto"/>
        <w:ind w:right="98"/>
        <w:rPr>
          <w:sz w:val="24"/>
        </w:rPr>
      </w:pPr>
      <w:r>
        <w:rPr>
          <w:sz w:val="24"/>
        </w:rPr>
        <w:t xml:space="preserve">The Respondent knew or a reasonable person should have known that the Complainant was unable to consent because the Complainant was incapacitated, in that </w:t>
      </w:r>
      <w:r>
        <w:rPr>
          <w:spacing w:val="-6"/>
          <w:sz w:val="24"/>
        </w:rPr>
        <w:t xml:space="preserve">the </w:t>
      </w:r>
      <w:r>
        <w:rPr>
          <w:sz w:val="24"/>
        </w:rPr>
        <w:t>Complainant was:</w:t>
      </w:r>
    </w:p>
    <w:p w:rsidR="009B5C35" w:rsidRDefault="009B5C35" w:rsidP="009B5C35">
      <w:pPr>
        <w:pStyle w:val="ListParagraph"/>
        <w:numPr>
          <w:ilvl w:val="0"/>
          <w:numId w:val="1"/>
        </w:numPr>
        <w:tabs>
          <w:tab w:val="left" w:pos="820"/>
        </w:tabs>
        <w:spacing w:before="1"/>
        <w:rPr>
          <w:sz w:val="24"/>
        </w:rPr>
      </w:pPr>
      <w:r>
        <w:rPr>
          <w:sz w:val="24"/>
        </w:rPr>
        <w:t>Asleep or unconscious;</w:t>
      </w:r>
    </w:p>
    <w:p w:rsidR="009B5C35" w:rsidRDefault="009B5C35" w:rsidP="009B5C35">
      <w:pPr>
        <w:pStyle w:val="ListParagraph"/>
        <w:numPr>
          <w:ilvl w:val="0"/>
          <w:numId w:val="1"/>
        </w:numPr>
        <w:tabs>
          <w:tab w:val="left" w:pos="820"/>
        </w:tabs>
        <w:spacing w:before="8" w:line="247" w:lineRule="auto"/>
        <w:ind w:right="111"/>
        <w:rPr>
          <w:sz w:val="24"/>
        </w:rPr>
      </w:pPr>
      <w:r>
        <w:rPr>
          <w:sz w:val="24"/>
        </w:rPr>
        <w:t>Unable to understand the fact, nature, or extent of the sexual activity due to the influence of drugs, alcohol, or medication; or</w:t>
      </w:r>
    </w:p>
    <w:p w:rsidR="009B5C35" w:rsidRDefault="009B5C35" w:rsidP="009B5C35">
      <w:pPr>
        <w:pStyle w:val="ListParagraph"/>
        <w:numPr>
          <w:ilvl w:val="0"/>
          <w:numId w:val="1"/>
        </w:numPr>
        <w:tabs>
          <w:tab w:val="left" w:pos="820"/>
        </w:tabs>
        <w:spacing w:before="1"/>
        <w:rPr>
          <w:sz w:val="24"/>
        </w:rPr>
      </w:pPr>
      <w:r>
        <w:rPr>
          <w:sz w:val="24"/>
        </w:rPr>
        <w:t>Unable to communicate due to a mental or physical condition.</w:t>
      </w:r>
    </w:p>
    <w:p w:rsidR="009B5C35" w:rsidRDefault="009B5C35" w:rsidP="009B5C35">
      <w:pPr>
        <w:pStyle w:val="BodyText"/>
        <w:spacing w:before="6"/>
        <w:rPr>
          <w:sz w:val="25"/>
        </w:rPr>
      </w:pPr>
    </w:p>
    <w:p w:rsidR="009B5C35" w:rsidRDefault="009B5C35" w:rsidP="009B5C35">
      <w:pPr>
        <w:pStyle w:val="BodyText"/>
        <w:spacing w:line="247" w:lineRule="auto"/>
        <w:ind w:left="100" w:right="105"/>
        <w:jc w:val="both"/>
      </w:pPr>
      <w:r>
        <w:t>Decision-maker: The person who will make a determination of responsibility. The Decision-maker cannot be the Title IX Coordinator or the investigator.</w:t>
      </w:r>
    </w:p>
    <w:p w:rsidR="009B5C35" w:rsidRDefault="009B5C35" w:rsidP="009B5C35">
      <w:pPr>
        <w:pStyle w:val="BodyText"/>
        <w:spacing w:before="11"/>
      </w:pPr>
    </w:p>
    <w:p w:rsidR="009B5C35" w:rsidRDefault="009B5C35" w:rsidP="009B5C35">
      <w:pPr>
        <w:pStyle w:val="BodyText"/>
        <w:spacing w:line="247" w:lineRule="auto"/>
        <w:ind w:left="100" w:right="104"/>
        <w:jc w:val="both"/>
      </w:pPr>
      <w:r>
        <w:t>Formal Complaint: A written complaint signed by the Complainant or Title IX Coordinator, alleging sexual harassment and requesting an investigation. If the Title IX Coordinator signs the formal complaint, he/she/they will not become a Party to the complaint.</w:t>
      </w:r>
    </w:p>
    <w:p w:rsidR="009B5C35" w:rsidRDefault="009B5C35" w:rsidP="009B5C35">
      <w:pPr>
        <w:pStyle w:val="BodyText"/>
        <w:spacing w:before="11"/>
      </w:pPr>
    </w:p>
    <w:p w:rsidR="009B5C35" w:rsidRDefault="009B5C35" w:rsidP="009B5C35">
      <w:pPr>
        <w:pStyle w:val="BodyText"/>
        <w:ind w:left="100"/>
        <w:jc w:val="both"/>
      </w:pPr>
      <w:r>
        <w:t>Parties: As used in this procedure, this means the Complainant and Respondent.</w:t>
      </w:r>
    </w:p>
    <w:p w:rsidR="009B5C35" w:rsidRDefault="009B5C35" w:rsidP="009B5C35">
      <w:pPr>
        <w:pStyle w:val="BodyText"/>
        <w:spacing w:before="7"/>
        <w:rPr>
          <w:sz w:val="25"/>
        </w:rPr>
      </w:pPr>
    </w:p>
    <w:p w:rsidR="009B5C35" w:rsidRDefault="009B5C35" w:rsidP="009B5C35">
      <w:pPr>
        <w:pStyle w:val="BodyText"/>
        <w:spacing w:line="247" w:lineRule="auto"/>
        <w:ind w:left="100" w:right="100"/>
        <w:jc w:val="both"/>
      </w:pPr>
      <w:r>
        <w:t xml:space="preserve">Respondent: A Respondent is an individual reported to be the perpetrator of conduct that </w:t>
      </w:r>
      <w:r>
        <w:rPr>
          <w:spacing w:val="-4"/>
        </w:rPr>
        <w:t>could</w:t>
      </w:r>
      <w:r>
        <w:rPr>
          <w:spacing w:val="52"/>
        </w:rPr>
        <w:t xml:space="preserve"> </w:t>
      </w:r>
      <w:r>
        <w:t>constitute sexual harassment.</w:t>
      </w:r>
    </w:p>
    <w:p w:rsidR="009B5C35" w:rsidRDefault="009B5C35" w:rsidP="009B5C35">
      <w:pPr>
        <w:pStyle w:val="BodyText"/>
        <w:spacing w:before="10"/>
      </w:pPr>
    </w:p>
    <w:p w:rsidR="009B5C35" w:rsidRDefault="009B5C35" w:rsidP="009B5C35">
      <w:pPr>
        <w:pStyle w:val="BodyText"/>
        <w:ind w:left="100"/>
        <w:jc w:val="both"/>
      </w:pPr>
      <w:r>
        <w:t>Sexual Harassment under Title IX: Conduct that satisfies one or more of the following:</w:t>
      </w:r>
    </w:p>
    <w:p w:rsidR="009B5C35" w:rsidRDefault="009B5C35" w:rsidP="009B5C35">
      <w:pPr>
        <w:pStyle w:val="BodyText"/>
        <w:spacing w:before="6"/>
        <w:rPr>
          <w:sz w:val="25"/>
        </w:rPr>
      </w:pPr>
    </w:p>
    <w:p w:rsidR="009B5C35" w:rsidRDefault="009B5C35" w:rsidP="009B5C35">
      <w:pPr>
        <w:pStyle w:val="ListParagraph"/>
        <w:numPr>
          <w:ilvl w:val="0"/>
          <w:numId w:val="1"/>
        </w:numPr>
        <w:tabs>
          <w:tab w:val="left" w:pos="820"/>
        </w:tabs>
        <w:spacing w:line="247" w:lineRule="auto"/>
        <w:ind w:right="108"/>
        <w:rPr>
          <w:sz w:val="24"/>
        </w:rPr>
      </w:pPr>
      <w:r>
        <w:rPr>
          <w:sz w:val="24"/>
        </w:rPr>
        <w:t xml:space="preserve">A District employee conditions the provision of an aid, benefit, or service of the </w:t>
      </w:r>
      <w:r>
        <w:rPr>
          <w:spacing w:val="-3"/>
          <w:sz w:val="24"/>
        </w:rPr>
        <w:t xml:space="preserve">District </w:t>
      </w:r>
      <w:r>
        <w:rPr>
          <w:sz w:val="24"/>
        </w:rPr>
        <w:lastRenderedPageBreak/>
        <w:t>on an individual’s participation in unwelcome sexual conduct (quid pro quo</w:t>
      </w:r>
      <w:r>
        <w:rPr>
          <w:spacing w:val="-13"/>
          <w:sz w:val="24"/>
        </w:rPr>
        <w:t xml:space="preserve"> </w:t>
      </w:r>
      <w:r>
        <w:rPr>
          <w:sz w:val="24"/>
        </w:rPr>
        <w:t>harassment);</w:t>
      </w:r>
    </w:p>
    <w:p w:rsidR="009B5C35" w:rsidRDefault="009B5C35" w:rsidP="009B5C35">
      <w:pPr>
        <w:spacing w:line="247" w:lineRule="auto"/>
        <w:jc w:val="both"/>
        <w:rPr>
          <w:sz w:val="24"/>
        </w:rPr>
        <w:sectPr w:rsidR="009B5C35">
          <w:pgSz w:w="12240" w:h="15840"/>
          <w:pgMar w:top="1360" w:right="980" w:bottom="860" w:left="1700" w:header="377" w:footer="662" w:gutter="0"/>
          <w:cols w:space="720"/>
        </w:sectPr>
      </w:pPr>
    </w:p>
    <w:p w:rsidR="009B5C35" w:rsidRDefault="009B5C35" w:rsidP="009B5C35">
      <w:pPr>
        <w:pStyle w:val="ListParagraph"/>
        <w:numPr>
          <w:ilvl w:val="0"/>
          <w:numId w:val="1"/>
        </w:numPr>
        <w:tabs>
          <w:tab w:val="left" w:pos="820"/>
        </w:tabs>
        <w:spacing w:before="82" w:line="247" w:lineRule="auto"/>
        <w:ind w:right="111"/>
        <w:rPr>
          <w:sz w:val="24"/>
        </w:rPr>
      </w:pPr>
      <w:r>
        <w:rPr>
          <w:sz w:val="24"/>
        </w:rPr>
        <w:lastRenderedPageBreak/>
        <w:t xml:space="preserve">Unwelcome conduct determined by a reasonable person to be so severe, pervasive, </w:t>
      </w:r>
      <w:r>
        <w:rPr>
          <w:spacing w:val="-6"/>
          <w:sz w:val="24"/>
        </w:rPr>
        <w:t xml:space="preserve">and </w:t>
      </w:r>
      <w:r>
        <w:rPr>
          <w:sz w:val="24"/>
        </w:rPr>
        <w:t xml:space="preserve">objectively offensive that it effectively denies a person equal access to the </w:t>
      </w:r>
      <w:r>
        <w:rPr>
          <w:spacing w:val="-4"/>
          <w:sz w:val="24"/>
        </w:rPr>
        <w:t xml:space="preserve">District’s </w:t>
      </w:r>
      <w:r>
        <w:rPr>
          <w:sz w:val="24"/>
        </w:rPr>
        <w:t>education program or activity;</w:t>
      </w:r>
    </w:p>
    <w:p w:rsidR="009B5C35" w:rsidRDefault="009B5C35" w:rsidP="009B5C35">
      <w:pPr>
        <w:pStyle w:val="ListParagraph"/>
        <w:numPr>
          <w:ilvl w:val="0"/>
          <w:numId w:val="1"/>
        </w:numPr>
        <w:tabs>
          <w:tab w:val="left" w:pos="819"/>
          <w:tab w:val="left" w:pos="820"/>
        </w:tabs>
        <w:spacing w:before="1"/>
        <w:jc w:val="left"/>
        <w:rPr>
          <w:sz w:val="24"/>
        </w:rPr>
      </w:pPr>
      <w:r>
        <w:rPr>
          <w:sz w:val="24"/>
        </w:rPr>
        <w:t>Sexual assault, as defined in 20 U.S.C. 1092(f)(6)(A)(v);</w:t>
      </w:r>
    </w:p>
    <w:p w:rsidR="009B5C35" w:rsidRDefault="009B5C35" w:rsidP="009B5C35">
      <w:pPr>
        <w:pStyle w:val="ListParagraph"/>
        <w:numPr>
          <w:ilvl w:val="0"/>
          <w:numId w:val="1"/>
        </w:numPr>
        <w:tabs>
          <w:tab w:val="left" w:pos="819"/>
          <w:tab w:val="left" w:pos="820"/>
        </w:tabs>
        <w:spacing w:before="8"/>
        <w:jc w:val="left"/>
        <w:rPr>
          <w:sz w:val="24"/>
        </w:rPr>
      </w:pPr>
      <w:r>
        <w:rPr>
          <w:sz w:val="24"/>
        </w:rPr>
        <w:t>Dating violence, as defined in 34 U.S.C. 12291(a)(10);</w:t>
      </w:r>
    </w:p>
    <w:p w:rsidR="009B5C35" w:rsidRDefault="009B5C35" w:rsidP="009B5C35">
      <w:pPr>
        <w:pStyle w:val="ListParagraph"/>
        <w:numPr>
          <w:ilvl w:val="0"/>
          <w:numId w:val="1"/>
        </w:numPr>
        <w:tabs>
          <w:tab w:val="left" w:pos="819"/>
          <w:tab w:val="left" w:pos="820"/>
        </w:tabs>
        <w:spacing w:before="8"/>
        <w:jc w:val="left"/>
        <w:rPr>
          <w:sz w:val="24"/>
        </w:rPr>
      </w:pPr>
      <w:r>
        <w:rPr>
          <w:sz w:val="24"/>
        </w:rPr>
        <w:t>Domestic violence as defined in 34 U.S.C. 12291(a)(8); or</w:t>
      </w:r>
    </w:p>
    <w:p w:rsidR="009B5C35" w:rsidRDefault="009B5C35" w:rsidP="009B5C35">
      <w:pPr>
        <w:pStyle w:val="ListParagraph"/>
        <w:numPr>
          <w:ilvl w:val="0"/>
          <w:numId w:val="1"/>
        </w:numPr>
        <w:tabs>
          <w:tab w:val="left" w:pos="819"/>
          <w:tab w:val="left" w:pos="820"/>
        </w:tabs>
        <w:spacing w:before="8"/>
        <w:jc w:val="left"/>
        <w:rPr>
          <w:sz w:val="24"/>
        </w:rPr>
      </w:pPr>
      <w:r>
        <w:rPr>
          <w:sz w:val="24"/>
        </w:rPr>
        <w:t>Stalking as defined in 34 U.S.C. 12291(a) (30).</w:t>
      </w:r>
    </w:p>
    <w:p w:rsidR="000A01C6" w:rsidRDefault="009B5C35"/>
    <w:p w:rsidR="009B5C35" w:rsidRDefault="009B5C35">
      <w:r>
        <w:t xml:space="preserve">I have read and received a copy of the District’s Title IX Sexual Harassment definitions. </w:t>
      </w:r>
    </w:p>
    <w:p w:rsidR="009B5C35" w:rsidRDefault="009B5C35"/>
    <w:p w:rsidR="009B5C35" w:rsidRDefault="009B5C35">
      <w:r>
        <w:t>Name:  __________________________________________________</w:t>
      </w:r>
    </w:p>
    <w:p w:rsidR="009B5C35" w:rsidRDefault="009B5C35"/>
    <w:p w:rsidR="009B5C35" w:rsidRDefault="009B5C35">
      <w:r>
        <w:t>Date:  ___________________________________________________</w:t>
      </w:r>
      <w:bookmarkStart w:id="0" w:name="_GoBack"/>
      <w:bookmarkEnd w:id="0"/>
    </w:p>
    <w:sectPr w:rsidR="009B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11E3D"/>
    <w:multiLevelType w:val="hybridMultilevel"/>
    <w:tmpl w:val="63E83826"/>
    <w:lvl w:ilvl="0" w:tplc="625E0E4C">
      <w:numFmt w:val="bullet"/>
      <w:lvlText w:val="●"/>
      <w:lvlJc w:val="left"/>
      <w:pPr>
        <w:ind w:left="820" w:hanging="360"/>
      </w:pPr>
      <w:rPr>
        <w:rFonts w:ascii="Arial" w:eastAsia="Arial" w:hAnsi="Arial" w:cs="Arial" w:hint="default"/>
        <w:w w:val="100"/>
        <w:sz w:val="24"/>
        <w:szCs w:val="24"/>
      </w:rPr>
    </w:lvl>
    <w:lvl w:ilvl="1" w:tplc="E710F382">
      <w:numFmt w:val="bullet"/>
      <w:lvlText w:val="•"/>
      <w:lvlJc w:val="left"/>
      <w:pPr>
        <w:ind w:left="1694" w:hanging="360"/>
      </w:pPr>
      <w:rPr>
        <w:rFonts w:hint="default"/>
      </w:rPr>
    </w:lvl>
    <w:lvl w:ilvl="2" w:tplc="7476416A">
      <w:numFmt w:val="bullet"/>
      <w:lvlText w:val="•"/>
      <w:lvlJc w:val="left"/>
      <w:pPr>
        <w:ind w:left="2568" w:hanging="360"/>
      </w:pPr>
      <w:rPr>
        <w:rFonts w:hint="default"/>
      </w:rPr>
    </w:lvl>
    <w:lvl w:ilvl="3" w:tplc="EF6EE4A4">
      <w:numFmt w:val="bullet"/>
      <w:lvlText w:val="•"/>
      <w:lvlJc w:val="left"/>
      <w:pPr>
        <w:ind w:left="3442" w:hanging="360"/>
      </w:pPr>
      <w:rPr>
        <w:rFonts w:hint="default"/>
      </w:rPr>
    </w:lvl>
    <w:lvl w:ilvl="4" w:tplc="FD4AB374">
      <w:numFmt w:val="bullet"/>
      <w:lvlText w:val="•"/>
      <w:lvlJc w:val="left"/>
      <w:pPr>
        <w:ind w:left="4316" w:hanging="360"/>
      </w:pPr>
      <w:rPr>
        <w:rFonts w:hint="default"/>
      </w:rPr>
    </w:lvl>
    <w:lvl w:ilvl="5" w:tplc="16EA6694">
      <w:numFmt w:val="bullet"/>
      <w:lvlText w:val="•"/>
      <w:lvlJc w:val="left"/>
      <w:pPr>
        <w:ind w:left="5190" w:hanging="360"/>
      </w:pPr>
      <w:rPr>
        <w:rFonts w:hint="default"/>
      </w:rPr>
    </w:lvl>
    <w:lvl w:ilvl="6" w:tplc="9D1A9F62">
      <w:numFmt w:val="bullet"/>
      <w:lvlText w:val="•"/>
      <w:lvlJc w:val="left"/>
      <w:pPr>
        <w:ind w:left="6064" w:hanging="360"/>
      </w:pPr>
      <w:rPr>
        <w:rFonts w:hint="default"/>
      </w:rPr>
    </w:lvl>
    <w:lvl w:ilvl="7" w:tplc="174AB578">
      <w:numFmt w:val="bullet"/>
      <w:lvlText w:val="•"/>
      <w:lvlJc w:val="left"/>
      <w:pPr>
        <w:ind w:left="6938" w:hanging="360"/>
      </w:pPr>
      <w:rPr>
        <w:rFonts w:hint="default"/>
      </w:rPr>
    </w:lvl>
    <w:lvl w:ilvl="8" w:tplc="3394215C">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35"/>
    <w:rsid w:val="003A2F25"/>
    <w:rsid w:val="004907C6"/>
    <w:rsid w:val="00547E5E"/>
    <w:rsid w:val="009B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5C8C"/>
  <w15:chartTrackingRefBased/>
  <w15:docId w15:val="{FEE32E7B-17EA-4B6F-A880-1E77F1B5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4"/>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5C35"/>
    <w:pPr>
      <w:widowControl w:val="0"/>
      <w:autoSpaceDE w:val="0"/>
      <w:autoSpaceDN w:val="0"/>
      <w:spacing w:after="0" w:line="240" w:lineRule="auto"/>
    </w:pPr>
    <w:rPr>
      <w:rFonts w:ascii="Times New Roman" w:eastAsia="Times New Roman" w:hAnsi="Times New Roman" w:cs="Times New Roma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5C35"/>
    <w:rPr>
      <w:sz w:val="24"/>
      <w:szCs w:val="24"/>
    </w:rPr>
  </w:style>
  <w:style w:type="character" w:customStyle="1" w:styleId="BodyTextChar">
    <w:name w:val="Body Text Char"/>
    <w:basedOn w:val="DefaultParagraphFont"/>
    <w:link w:val="BodyText"/>
    <w:uiPriority w:val="1"/>
    <w:rsid w:val="009B5C35"/>
    <w:rPr>
      <w:rFonts w:ascii="Times New Roman" w:eastAsia="Times New Roman" w:hAnsi="Times New Roman" w:cs="Times New Roman"/>
      <w:kern w:val="0"/>
    </w:rPr>
  </w:style>
  <w:style w:type="paragraph" w:styleId="ListParagraph">
    <w:name w:val="List Paragraph"/>
    <w:basedOn w:val="Normal"/>
    <w:uiPriority w:val="1"/>
    <w:qFormat/>
    <w:rsid w:val="009B5C35"/>
    <w:pPr>
      <w:ind w:left="82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Vanderpool</dc:creator>
  <cp:keywords/>
  <dc:description/>
  <cp:lastModifiedBy>Tamara Vanderpool</cp:lastModifiedBy>
  <cp:revision>1</cp:revision>
  <dcterms:created xsi:type="dcterms:W3CDTF">2022-04-12T22:25:00Z</dcterms:created>
  <dcterms:modified xsi:type="dcterms:W3CDTF">2022-04-12T22:31:00Z</dcterms:modified>
</cp:coreProperties>
</file>