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numPr>
          <w:ilvl w:val="0"/>
          <w:numId w:val="1"/>
        </w:numPr>
        <w:ind w:left="720" w:hanging="360"/>
        <w:rPr>
          <w:highlight w:val="green"/>
        </w:rPr>
      </w:pPr>
      <w:r w:rsidDel="00000000" w:rsidR="00000000" w:rsidRPr="00000000">
        <w:rPr>
          <w:highlight w:val="green"/>
          <w:rtl w:val="0"/>
        </w:rPr>
        <w:t xml:space="preserve">Team Building</w:t>
      </w:r>
    </w:p>
    <w:p w:rsidR="00000000" w:rsidDel="00000000" w:rsidP="00000000" w:rsidRDefault="00000000" w:rsidRPr="00000000" w14:paraId="00000001">
      <w:pPr>
        <w:numPr>
          <w:ilvl w:val="1"/>
          <w:numId w:val="1"/>
        </w:numPr>
        <w:ind w:left="1440" w:hanging="360"/>
        <w:rPr>
          <w:highlight w:val="green"/>
        </w:rPr>
      </w:pPr>
      <w:r w:rsidDel="00000000" w:rsidR="00000000" w:rsidRPr="00000000">
        <w:rPr>
          <w:highlight w:val="green"/>
          <w:rtl w:val="0"/>
        </w:rPr>
        <w:t xml:space="preserve">Two Truths and a Lie</w:t>
      </w:r>
    </w:p>
    <w:p w:rsidR="00000000" w:rsidDel="00000000" w:rsidP="00000000" w:rsidRDefault="00000000" w:rsidRPr="00000000" w14:paraId="00000002">
      <w:pPr>
        <w:numPr>
          <w:ilvl w:val="0"/>
          <w:numId w:val="1"/>
        </w:numPr>
        <w:ind w:left="720" w:hanging="360"/>
        <w:rPr>
          <w:highlight w:val="green"/>
        </w:rPr>
      </w:pPr>
      <w:r w:rsidDel="00000000" w:rsidR="00000000" w:rsidRPr="00000000">
        <w:rPr>
          <w:highlight w:val="green"/>
          <w:rtl w:val="0"/>
        </w:rPr>
        <w:t xml:space="preserve">My Story: Connect to “Two truths and a lie” icebreaker</w:t>
      </w:r>
    </w:p>
    <w:p w:rsidR="00000000" w:rsidDel="00000000" w:rsidP="00000000" w:rsidRDefault="00000000" w:rsidRPr="00000000" w14:paraId="00000003">
      <w:pPr>
        <w:numPr>
          <w:ilvl w:val="1"/>
          <w:numId w:val="1"/>
        </w:numPr>
        <w:ind w:left="1440" w:hanging="360"/>
        <w:rPr>
          <w:highlight w:val="green"/>
        </w:rPr>
      </w:pPr>
      <w:r w:rsidDel="00000000" w:rsidR="00000000" w:rsidRPr="00000000">
        <w:rPr>
          <w:highlight w:val="green"/>
          <w:rtl w:val="0"/>
        </w:rPr>
        <w:t xml:space="preserve">7th grade math teacher</w:t>
      </w:r>
    </w:p>
    <w:p w:rsidR="00000000" w:rsidDel="00000000" w:rsidP="00000000" w:rsidRDefault="00000000" w:rsidRPr="00000000" w14:paraId="00000004">
      <w:pPr>
        <w:numPr>
          <w:ilvl w:val="1"/>
          <w:numId w:val="1"/>
        </w:numPr>
        <w:ind w:left="1440" w:hanging="360"/>
        <w:rPr>
          <w:highlight w:val="green"/>
        </w:rPr>
      </w:pPr>
      <w:r w:rsidDel="00000000" w:rsidR="00000000" w:rsidRPr="00000000">
        <w:rPr>
          <w:highlight w:val="green"/>
          <w:rtl w:val="0"/>
        </w:rPr>
        <w:t xml:space="preserve">APPR</w:t>
      </w:r>
    </w:p>
    <w:p w:rsidR="00000000" w:rsidDel="00000000" w:rsidP="00000000" w:rsidRDefault="00000000" w:rsidRPr="00000000" w14:paraId="00000005">
      <w:pPr>
        <w:numPr>
          <w:ilvl w:val="1"/>
          <w:numId w:val="1"/>
        </w:numPr>
        <w:ind w:left="1440" w:hanging="360"/>
        <w:rPr>
          <w:highlight w:val="green"/>
        </w:rPr>
      </w:pPr>
      <w:r w:rsidDel="00000000" w:rsidR="00000000" w:rsidRPr="00000000">
        <w:rPr>
          <w:highlight w:val="green"/>
          <w:rtl w:val="0"/>
        </w:rPr>
        <w:t xml:space="preserve">Got slammed for my 2014-2015 test results</w:t>
      </w:r>
    </w:p>
    <w:p w:rsidR="00000000" w:rsidDel="00000000" w:rsidP="00000000" w:rsidRDefault="00000000" w:rsidRPr="00000000" w14:paraId="00000006">
      <w:pPr>
        <w:numPr>
          <w:ilvl w:val="2"/>
          <w:numId w:val="1"/>
        </w:numPr>
        <w:ind w:left="2160" w:hanging="360"/>
        <w:rPr>
          <w:highlight w:val="green"/>
        </w:rPr>
      </w:pPr>
      <w:r w:rsidDel="00000000" w:rsidR="00000000" w:rsidRPr="00000000">
        <w:rPr>
          <w:highlight w:val="green"/>
          <w:rtl w:val="0"/>
        </w:rPr>
        <w:t xml:space="preserve">My ELA colleague, Todd, also had a low growth score</w:t>
      </w:r>
    </w:p>
    <w:p w:rsidR="00000000" w:rsidDel="00000000" w:rsidP="00000000" w:rsidRDefault="00000000" w:rsidRPr="00000000" w14:paraId="00000007">
      <w:pPr>
        <w:numPr>
          <w:ilvl w:val="1"/>
          <w:numId w:val="1"/>
        </w:numPr>
        <w:ind w:left="1440" w:hanging="360"/>
        <w:rPr>
          <w:highlight w:val="green"/>
        </w:rPr>
      </w:pPr>
      <w:r w:rsidDel="00000000" w:rsidR="00000000" w:rsidRPr="00000000">
        <w:rPr>
          <w:highlight w:val="green"/>
          <w:rtl w:val="0"/>
        </w:rPr>
        <w:t xml:space="preserve">Transitioned out of the classroom in part because of the pressure to increase test scores</w:t>
      </w:r>
    </w:p>
    <w:p w:rsidR="00000000" w:rsidDel="00000000" w:rsidP="00000000" w:rsidRDefault="00000000" w:rsidRPr="00000000" w14:paraId="00000008">
      <w:pPr>
        <w:numPr>
          <w:ilvl w:val="0"/>
          <w:numId w:val="1"/>
        </w:numPr>
        <w:ind w:left="720" w:hanging="360"/>
        <w:rPr>
          <w:highlight w:val="green"/>
        </w:rPr>
      </w:pPr>
      <w:r w:rsidDel="00000000" w:rsidR="00000000" w:rsidRPr="00000000">
        <w:rPr>
          <w:highlight w:val="green"/>
          <w:rtl w:val="0"/>
        </w:rPr>
        <w:t xml:space="preserve">Classroom Focus</w:t>
      </w:r>
    </w:p>
    <w:p w:rsidR="00000000" w:rsidDel="00000000" w:rsidP="00000000" w:rsidRDefault="00000000" w:rsidRPr="00000000" w14:paraId="00000009">
      <w:pPr>
        <w:numPr>
          <w:ilvl w:val="1"/>
          <w:numId w:val="1"/>
        </w:numPr>
        <w:ind w:left="1440" w:hanging="360"/>
        <w:rPr>
          <w:highlight w:val="green"/>
        </w:rPr>
      </w:pPr>
      <w:r w:rsidDel="00000000" w:rsidR="00000000" w:rsidRPr="00000000">
        <w:rPr>
          <w:highlight w:val="green"/>
          <w:rtl w:val="0"/>
        </w:rPr>
        <w:t xml:space="preserve">Data only makes an impact if teachers find the data useful to adjust their practice</w:t>
      </w:r>
    </w:p>
    <w:p w:rsidR="00000000" w:rsidDel="00000000" w:rsidP="00000000" w:rsidRDefault="00000000" w:rsidRPr="00000000" w14:paraId="0000000A">
      <w:pPr>
        <w:numPr>
          <w:ilvl w:val="1"/>
          <w:numId w:val="1"/>
        </w:numPr>
        <w:ind w:left="1440" w:hanging="360"/>
        <w:rPr>
          <w:highlight w:val="green"/>
        </w:rPr>
      </w:pPr>
      <w:r w:rsidDel="00000000" w:rsidR="00000000" w:rsidRPr="00000000">
        <w:rPr>
          <w:highlight w:val="green"/>
          <w:rtl w:val="0"/>
        </w:rPr>
        <w:t xml:space="preserve">If data is weaponized, teachers will shut down</w:t>
      </w:r>
    </w:p>
    <w:p w:rsidR="00000000" w:rsidDel="00000000" w:rsidP="00000000" w:rsidRDefault="00000000" w:rsidRPr="00000000" w14:paraId="0000000B">
      <w:pPr>
        <w:numPr>
          <w:ilvl w:val="0"/>
          <w:numId w:val="1"/>
        </w:numPr>
        <w:ind w:left="720" w:hanging="360"/>
        <w:rPr>
          <w:highlight w:val="green"/>
        </w:rPr>
      </w:pPr>
      <w:r w:rsidDel="00000000" w:rsidR="00000000" w:rsidRPr="00000000">
        <w:rPr>
          <w:highlight w:val="green"/>
          <w:rtl w:val="0"/>
        </w:rPr>
        <w:t xml:space="preserve">The Big Picture</w:t>
      </w:r>
    </w:p>
    <w:p w:rsidR="00000000" w:rsidDel="00000000" w:rsidP="00000000" w:rsidRDefault="00000000" w:rsidRPr="00000000" w14:paraId="0000000C">
      <w:pPr>
        <w:numPr>
          <w:ilvl w:val="1"/>
          <w:numId w:val="1"/>
        </w:numPr>
        <w:ind w:left="1440" w:hanging="360"/>
        <w:rPr>
          <w:highlight w:val="green"/>
        </w:rPr>
      </w:pPr>
      <w:r w:rsidDel="00000000" w:rsidR="00000000" w:rsidRPr="00000000">
        <w:rPr>
          <w:highlight w:val="green"/>
          <w:rtl w:val="0"/>
        </w:rPr>
        <w:t xml:space="preserve">Where does my content or grade level fit into the larger K-12 system</w:t>
      </w:r>
    </w:p>
    <w:p w:rsidR="00000000" w:rsidDel="00000000" w:rsidP="00000000" w:rsidRDefault="00000000" w:rsidRPr="00000000" w14:paraId="0000000D">
      <w:pPr>
        <w:numPr>
          <w:ilvl w:val="1"/>
          <w:numId w:val="1"/>
        </w:numPr>
        <w:ind w:left="1440" w:hanging="360"/>
        <w:rPr>
          <w:highlight w:val="green"/>
        </w:rPr>
      </w:pPr>
      <w:r w:rsidDel="00000000" w:rsidR="00000000" w:rsidRPr="00000000">
        <w:rPr>
          <w:highlight w:val="green"/>
          <w:rtl w:val="0"/>
        </w:rPr>
        <w:t xml:space="preserve">How does student achievement change over time?</w:t>
      </w:r>
    </w:p>
    <w:p w:rsidR="00000000" w:rsidDel="00000000" w:rsidP="00000000" w:rsidRDefault="00000000" w:rsidRPr="00000000" w14:paraId="0000000E">
      <w:pPr>
        <w:numPr>
          <w:ilvl w:val="1"/>
          <w:numId w:val="1"/>
        </w:numPr>
        <w:ind w:left="1440" w:hanging="360"/>
        <w:rPr>
          <w:highlight w:val="green"/>
          <w:u w:val="none"/>
        </w:rPr>
      </w:pPr>
      <w:r w:rsidDel="00000000" w:rsidR="00000000" w:rsidRPr="00000000">
        <w:rPr>
          <w:highlight w:val="green"/>
          <w:rtl w:val="0"/>
        </w:rPr>
        <w:t xml:space="preserve">Data Driven Dialogue, four-phase approach</w:t>
      </w:r>
    </w:p>
    <w:p w:rsidR="00000000" w:rsidDel="00000000" w:rsidP="00000000" w:rsidRDefault="00000000" w:rsidRPr="00000000" w14:paraId="0000000F">
      <w:pPr>
        <w:numPr>
          <w:ilvl w:val="0"/>
          <w:numId w:val="1"/>
        </w:numPr>
        <w:ind w:left="720" w:hanging="360"/>
        <w:rPr>
          <w:highlight w:val="green"/>
        </w:rPr>
      </w:pPr>
      <w:r w:rsidDel="00000000" w:rsidR="00000000" w:rsidRPr="00000000">
        <w:rPr>
          <w:highlight w:val="green"/>
          <w:rtl w:val="0"/>
        </w:rPr>
        <w:t xml:space="preserve">Math Overview for my BOCES</w:t>
      </w:r>
    </w:p>
    <w:p w:rsidR="00000000" w:rsidDel="00000000" w:rsidP="00000000" w:rsidRDefault="00000000" w:rsidRPr="00000000" w14:paraId="00000010">
      <w:pPr>
        <w:numPr>
          <w:ilvl w:val="1"/>
          <w:numId w:val="1"/>
        </w:numPr>
        <w:ind w:left="1440" w:hanging="360"/>
        <w:rPr>
          <w:highlight w:val="green"/>
        </w:rPr>
      </w:pPr>
      <w:r w:rsidDel="00000000" w:rsidR="00000000" w:rsidRPr="00000000">
        <w:rPr>
          <w:highlight w:val="green"/>
          <w:rtl w:val="0"/>
        </w:rPr>
        <w:t xml:space="preserve">Consider how to share this reporting creatively</w:t>
      </w:r>
    </w:p>
    <w:p w:rsidR="00000000" w:rsidDel="00000000" w:rsidP="00000000" w:rsidRDefault="00000000" w:rsidRPr="00000000" w14:paraId="00000011">
      <w:pPr>
        <w:numPr>
          <w:ilvl w:val="0"/>
          <w:numId w:val="1"/>
        </w:numPr>
        <w:ind w:left="720" w:hanging="360"/>
        <w:rPr>
          <w:highlight w:val="green"/>
        </w:rPr>
      </w:pPr>
      <w:r w:rsidDel="00000000" w:rsidR="00000000" w:rsidRPr="00000000">
        <w:rPr>
          <w:highlight w:val="green"/>
          <w:rtl w:val="0"/>
        </w:rPr>
        <w:t xml:space="preserve">ELA Overview for my BOCES</w:t>
      </w:r>
    </w:p>
    <w:p w:rsidR="00000000" w:rsidDel="00000000" w:rsidP="00000000" w:rsidRDefault="00000000" w:rsidRPr="00000000" w14:paraId="00000012">
      <w:pPr>
        <w:numPr>
          <w:ilvl w:val="1"/>
          <w:numId w:val="1"/>
        </w:numPr>
        <w:ind w:left="1440" w:hanging="360"/>
        <w:rPr>
          <w:highlight w:val="green"/>
        </w:rPr>
      </w:pPr>
      <w:r w:rsidDel="00000000" w:rsidR="00000000" w:rsidRPr="00000000">
        <w:rPr>
          <w:highlight w:val="green"/>
          <w:rtl w:val="0"/>
        </w:rPr>
        <w:t xml:space="preserve">Ditto</w:t>
      </w:r>
    </w:p>
    <w:p w:rsidR="00000000" w:rsidDel="00000000" w:rsidP="00000000" w:rsidRDefault="00000000" w:rsidRPr="00000000" w14:paraId="00000013">
      <w:pPr>
        <w:numPr>
          <w:ilvl w:val="0"/>
          <w:numId w:val="1"/>
        </w:numPr>
        <w:ind w:left="720" w:hanging="360"/>
        <w:rPr>
          <w:highlight w:val="green"/>
        </w:rPr>
      </w:pPr>
      <w:r w:rsidDel="00000000" w:rsidR="00000000" w:rsidRPr="00000000">
        <w:rPr>
          <w:highlight w:val="green"/>
          <w:rtl w:val="0"/>
        </w:rPr>
        <w:t xml:space="preserve">Comparative reporting between Math and ELA</w:t>
      </w:r>
    </w:p>
    <w:p w:rsidR="00000000" w:rsidDel="00000000" w:rsidP="00000000" w:rsidRDefault="00000000" w:rsidRPr="00000000" w14:paraId="00000014">
      <w:pPr>
        <w:numPr>
          <w:ilvl w:val="1"/>
          <w:numId w:val="1"/>
        </w:numPr>
        <w:ind w:left="1440" w:hanging="360"/>
        <w:rPr>
          <w:highlight w:val="green"/>
          <w:u w:val="none"/>
        </w:rPr>
      </w:pPr>
      <w:r w:rsidDel="00000000" w:rsidR="00000000" w:rsidRPr="00000000">
        <w:rPr>
          <w:highlight w:val="green"/>
          <w:rtl w:val="0"/>
        </w:rPr>
        <w:t xml:space="preserve">What works for you?</w:t>
      </w:r>
      <w:r w:rsidDel="00000000" w:rsidR="00000000" w:rsidRPr="00000000">
        <w:rPr>
          <w:rtl w:val="0"/>
        </w:rPr>
      </w:r>
    </w:p>
    <w:p w:rsidR="00000000" w:rsidDel="00000000" w:rsidP="00000000" w:rsidRDefault="00000000" w:rsidRPr="00000000" w14:paraId="00000015">
      <w:pPr>
        <w:numPr>
          <w:ilvl w:val="1"/>
          <w:numId w:val="1"/>
        </w:numPr>
        <w:ind w:left="1440" w:hanging="360"/>
        <w:rPr>
          <w:u w:val="none"/>
        </w:rPr>
      </w:pPr>
      <w:r w:rsidDel="00000000" w:rsidR="00000000" w:rsidRPr="00000000">
        <w:rPr>
          <w:rtl w:val="0"/>
        </w:rPr>
        <w:t xml:space="preserve">What instructional implications does this have?</w:t>
      </w:r>
    </w:p>
    <w:p w:rsidR="00000000" w:rsidDel="00000000" w:rsidP="00000000" w:rsidRDefault="00000000" w:rsidRPr="00000000" w14:paraId="00000016">
      <w:pPr>
        <w:numPr>
          <w:ilvl w:val="1"/>
          <w:numId w:val="1"/>
        </w:numPr>
        <w:ind w:left="1440" w:hanging="360"/>
        <w:rPr>
          <w:u w:val="none"/>
        </w:rPr>
      </w:pPr>
      <w:r w:rsidDel="00000000" w:rsidR="00000000" w:rsidRPr="00000000">
        <w:rPr>
          <w:rtl w:val="0"/>
        </w:rPr>
        <w:t xml:space="preserve">How about curriculum?</w:t>
      </w:r>
    </w:p>
    <w:p w:rsidR="00000000" w:rsidDel="00000000" w:rsidP="00000000" w:rsidRDefault="00000000" w:rsidRPr="00000000" w14:paraId="00000017">
      <w:pPr>
        <w:numPr>
          <w:ilvl w:val="1"/>
          <w:numId w:val="1"/>
        </w:numPr>
        <w:ind w:left="1440" w:hanging="360"/>
        <w:rPr>
          <w:u w:val="none"/>
        </w:rPr>
      </w:pPr>
      <w:r w:rsidDel="00000000" w:rsidR="00000000" w:rsidRPr="00000000">
        <w:rPr>
          <w:rtl w:val="0"/>
        </w:rPr>
        <w:t xml:space="preserve">Connect to Ainsworth 9/13/18 session, concept of picking certain standards to </w:t>
      </w:r>
      <w:r w:rsidDel="00000000" w:rsidR="00000000" w:rsidRPr="00000000">
        <w:rPr>
          <w:highlight w:val="yellow"/>
          <w:rtl w:val="0"/>
        </w:rPr>
        <w:t xml:space="preserve">focus on assessing</w:t>
      </w:r>
    </w:p>
    <w:p w:rsidR="00000000" w:rsidDel="00000000" w:rsidP="00000000" w:rsidRDefault="00000000" w:rsidRPr="00000000" w14:paraId="00000018">
      <w:pPr>
        <w:numPr>
          <w:ilvl w:val="2"/>
          <w:numId w:val="1"/>
        </w:numPr>
        <w:ind w:left="2160" w:hanging="360"/>
        <w:rPr>
          <w:highlight w:val="yellow"/>
        </w:rPr>
      </w:pPr>
      <w:r w:rsidDel="00000000" w:rsidR="00000000" w:rsidRPr="00000000">
        <w:rPr>
          <w:highlight w:val="yellow"/>
          <w:rtl w:val="0"/>
        </w:rPr>
        <w:t xml:space="preserve">This is similar to my conclusion</w:t>
      </w:r>
    </w:p>
    <w:p w:rsidR="00000000" w:rsidDel="00000000" w:rsidP="00000000" w:rsidRDefault="00000000" w:rsidRPr="00000000" w14:paraId="00000019">
      <w:pPr>
        <w:numPr>
          <w:ilvl w:val="0"/>
          <w:numId w:val="1"/>
        </w:numPr>
        <w:ind w:left="720" w:hanging="360"/>
        <w:rPr>
          <w:highlight w:val="yellow"/>
        </w:rPr>
      </w:pPr>
      <w:r w:rsidDel="00000000" w:rsidR="00000000" w:rsidRPr="00000000">
        <w:rPr>
          <w:highlight w:val="yellow"/>
          <w:rtl w:val="0"/>
        </w:rPr>
        <w:t xml:space="preserve">How about my science acceleration data?</w:t>
      </w:r>
    </w:p>
    <w:p w:rsidR="00000000" w:rsidDel="00000000" w:rsidP="00000000" w:rsidRDefault="00000000" w:rsidRPr="00000000" w14:paraId="0000001A">
      <w:pPr>
        <w:numPr>
          <w:ilvl w:val="1"/>
          <w:numId w:val="1"/>
        </w:numPr>
        <w:ind w:left="1440" w:hanging="360"/>
        <w:rPr>
          <w:highlight w:val="yellow"/>
        </w:rPr>
      </w:pPr>
      <w:r w:rsidDel="00000000" w:rsidR="00000000" w:rsidRPr="00000000">
        <w:rPr>
          <w:highlight w:val="yellow"/>
          <w:rtl w:val="0"/>
        </w:rPr>
        <w:t xml:space="preserve">See little Schoology group</w:t>
      </w:r>
    </w:p>
    <w:p w:rsidR="00000000" w:rsidDel="00000000" w:rsidP="00000000" w:rsidRDefault="00000000" w:rsidRPr="00000000" w14:paraId="0000001B">
      <w:pPr>
        <w:numPr>
          <w:ilvl w:val="0"/>
          <w:numId w:val="1"/>
        </w:numPr>
        <w:ind w:left="720" w:hanging="360"/>
        <w:rPr>
          <w:highlight w:val="yellow"/>
        </w:rPr>
      </w:pPr>
      <w:r w:rsidDel="00000000" w:rsidR="00000000" w:rsidRPr="00000000">
        <w:rPr>
          <w:highlight w:val="yellow"/>
          <w:rtl w:val="0"/>
        </w:rPr>
        <w:t xml:space="preserve">How about correlating student learning outcomes to socioeconomics?</w:t>
      </w:r>
    </w:p>
    <w:p w:rsidR="00000000" w:rsidDel="00000000" w:rsidP="00000000" w:rsidRDefault="00000000" w:rsidRPr="00000000" w14:paraId="0000001C">
      <w:pPr>
        <w:numPr>
          <w:ilvl w:val="1"/>
          <w:numId w:val="1"/>
        </w:numPr>
        <w:ind w:left="1440" w:hanging="360"/>
        <w:rPr>
          <w:highlight w:val="yellow"/>
        </w:rPr>
      </w:pPr>
      <w:r w:rsidDel="00000000" w:rsidR="00000000" w:rsidRPr="00000000">
        <w:rPr>
          <w:highlight w:val="yellow"/>
          <w:rtl w:val="0"/>
        </w:rPr>
        <w:t xml:space="preserve">Share this regression / statistical test</w:t>
      </w:r>
    </w:p>
    <w:p w:rsidR="00000000" w:rsidDel="00000000" w:rsidP="00000000" w:rsidRDefault="00000000" w:rsidRPr="00000000" w14:paraId="0000001D">
      <w:pPr>
        <w:numPr>
          <w:ilvl w:val="1"/>
          <w:numId w:val="1"/>
        </w:numPr>
        <w:ind w:left="1440" w:hanging="360"/>
        <w:rPr>
          <w:highlight w:val="yellow"/>
        </w:rPr>
      </w:pPr>
      <w:r w:rsidDel="00000000" w:rsidR="00000000" w:rsidRPr="00000000">
        <w:rPr>
          <w:highlight w:val="yellow"/>
          <w:rtl w:val="0"/>
        </w:rPr>
        <w:t xml:space="preserve">Honesty is a more productive approach than shame</w:t>
      </w:r>
    </w:p>
    <w:p w:rsidR="00000000" w:rsidDel="00000000" w:rsidP="00000000" w:rsidRDefault="00000000" w:rsidRPr="00000000" w14:paraId="0000001E">
      <w:pPr>
        <w:numPr>
          <w:ilvl w:val="0"/>
          <w:numId w:val="1"/>
        </w:numPr>
        <w:ind w:left="720" w:hanging="360"/>
        <w:rPr>
          <w:highlight w:val="yellow"/>
        </w:rPr>
      </w:pPr>
      <w:r w:rsidDel="00000000" w:rsidR="00000000" w:rsidRPr="00000000">
        <w:rPr>
          <w:highlight w:val="yellow"/>
          <w:rtl w:val="0"/>
        </w:rPr>
        <w:t xml:space="preserve">Maybe celebrate Luke’s script to connect student learning outcomes to chronic absenteeism?</w:t>
      </w:r>
    </w:p>
    <w:p w:rsidR="00000000" w:rsidDel="00000000" w:rsidP="00000000" w:rsidRDefault="00000000" w:rsidRPr="00000000" w14:paraId="0000001F">
      <w:pPr>
        <w:numPr>
          <w:ilvl w:val="1"/>
          <w:numId w:val="1"/>
        </w:numPr>
        <w:ind w:left="1440" w:hanging="360"/>
        <w:rPr>
          <w:highlight w:val="yellow"/>
        </w:rPr>
      </w:pPr>
      <w:r w:rsidDel="00000000" w:rsidR="00000000" w:rsidRPr="00000000">
        <w:rPr>
          <w:highlight w:val="yellow"/>
          <w:rtl w:val="0"/>
        </w:rPr>
        <w:t xml:space="preserve">Relevant article link https://www.ewa.org/blog-educated-reporter/more-numbers-getting-inside-data-student-absenteeism</w:t>
      </w:r>
    </w:p>
    <w:p w:rsidR="00000000" w:rsidDel="00000000" w:rsidP="00000000" w:rsidRDefault="00000000" w:rsidRPr="00000000" w14:paraId="00000020">
      <w:pPr>
        <w:numPr>
          <w:ilvl w:val="0"/>
          <w:numId w:val="1"/>
        </w:numPr>
        <w:ind w:left="720" w:hanging="360"/>
        <w:rPr>
          <w:highlight w:val="yellow"/>
        </w:rPr>
      </w:pPr>
      <w:r w:rsidDel="00000000" w:rsidR="00000000" w:rsidRPr="00000000">
        <w:rPr>
          <w:highlight w:val="yellow"/>
          <w:rtl w:val="0"/>
        </w:rPr>
        <w:t xml:space="preserve">Conclude with some of my original research AND connect to Brene Brown’s work</w:t>
      </w:r>
    </w:p>
    <w:p w:rsidR="00000000" w:rsidDel="00000000" w:rsidP="00000000" w:rsidRDefault="00000000" w:rsidRPr="00000000" w14:paraId="00000021">
      <w:pPr>
        <w:numPr>
          <w:ilvl w:val="1"/>
          <w:numId w:val="1"/>
        </w:numPr>
        <w:ind w:left="1440" w:hanging="360"/>
        <w:rPr>
          <w:highlight w:val="yellow"/>
        </w:rPr>
      </w:pPr>
      <w:r w:rsidDel="00000000" w:rsidR="00000000" w:rsidRPr="00000000">
        <w:rPr>
          <w:highlight w:val="yellow"/>
          <w:rtl w:val="0"/>
        </w:rPr>
        <w:t xml:space="preserve">Grit?</w:t>
      </w:r>
    </w:p>
    <w:p w:rsidR="00000000" w:rsidDel="00000000" w:rsidP="00000000" w:rsidRDefault="00000000" w:rsidRPr="00000000" w14:paraId="00000022">
      <w:pPr>
        <w:numPr>
          <w:ilvl w:val="1"/>
          <w:numId w:val="1"/>
        </w:numPr>
        <w:ind w:left="1440" w:hanging="360"/>
        <w:rPr>
          <w:highlight w:val="yellow"/>
        </w:rPr>
      </w:pPr>
      <w:r w:rsidDel="00000000" w:rsidR="00000000" w:rsidRPr="00000000">
        <w:rPr>
          <w:highlight w:val="yellow"/>
          <w:rtl w:val="0"/>
        </w:rPr>
        <w:t xml:space="preserve">Mindset?</w:t>
      </w:r>
    </w:p>
    <w:p w:rsidR="00000000" w:rsidDel="00000000" w:rsidP="00000000" w:rsidRDefault="00000000" w:rsidRPr="00000000" w14:paraId="00000023">
      <w:pPr>
        <w:numPr>
          <w:ilvl w:val="1"/>
          <w:numId w:val="1"/>
        </w:numPr>
        <w:ind w:left="1440" w:hanging="360"/>
        <w:rPr>
          <w:highlight w:val="yellow"/>
        </w:rPr>
      </w:pPr>
      <w:r w:rsidDel="00000000" w:rsidR="00000000" w:rsidRPr="00000000">
        <w:rPr>
          <w:highlight w:val="yellow"/>
          <w:rtl w:val="0"/>
        </w:rPr>
        <w:t xml:space="preserve">Other buzz words</w:t>
      </w:r>
    </w:p>
    <w:p w:rsidR="00000000" w:rsidDel="00000000" w:rsidP="00000000" w:rsidRDefault="00000000" w:rsidRPr="00000000" w14:paraId="00000024">
      <w:pPr>
        <w:numPr>
          <w:ilvl w:val="1"/>
          <w:numId w:val="1"/>
        </w:numPr>
        <w:ind w:left="1440" w:hanging="360"/>
        <w:rPr>
          <w:highlight w:val="yellow"/>
        </w:rPr>
      </w:pPr>
      <w:r w:rsidDel="00000000" w:rsidR="00000000" w:rsidRPr="00000000">
        <w:rPr>
          <w:highlight w:val="yellow"/>
          <w:rtl w:val="0"/>
        </w:rPr>
        <w:t xml:space="preserve">Visible Learning / Hattie’s metaanalysis</w:t>
      </w:r>
    </w:p>
    <w:p w:rsidR="00000000" w:rsidDel="00000000" w:rsidP="00000000" w:rsidRDefault="00000000" w:rsidRPr="00000000" w14:paraId="00000025">
      <w:pPr>
        <w:contextualSpacing w:val="0"/>
        <w:rPr>
          <w:highlight w:val="yellow"/>
        </w:rPr>
      </w:pPr>
      <w:r w:rsidDel="00000000" w:rsidR="00000000" w:rsidRPr="00000000">
        <w:rPr>
          <w:rtl w:val="0"/>
        </w:rPr>
      </w:r>
    </w:p>
    <w:p w:rsidR="00000000" w:rsidDel="00000000" w:rsidP="00000000" w:rsidRDefault="00000000" w:rsidRPr="00000000" w14:paraId="00000026">
      <w:pPr>
        <w:contextualSpacing w:val="0"/>
        <w:rPr>
          <w:highlight w:val="yellow"/>
        </w:rPr>
      </w:pPr>
      <w:r w:rsidDel="00000000" w:rsidR="00000000" w:rsidRPr="00000000">
        <w:rPr>
          <w:highlight w:val="yellow"/>
          <w:rtl w:val="0"/>
        </w:rPr>
        <w:t xml:space="preserve">No shame: mental health and mindfulness</w:t>
      </w:r>
    </w:p>
    <w:p w:rsidR="00000000" w:rsidDel="00000000" w:rsidP="00000000" w:rsidRDefault="00000000" w:rsidRPr="00000000" w14:paraId="00000027">
      <w:pPr>
        <w:contextualSpacing w:val="0"/>
        <w:rPr/>
      </w:pPr>
      <w:r w:rsidDel="00000000" w:rsidR="00000000" w:rsidRPr="00000000">
        <w:rPr>
          <w:rtl w:val="0"/>
        </w:rPr>
      </w:r>
    </w:p>
    <w:p w:rsidR="00000000" w:rsidDel="00000000" w:rsidP="00000000" w:rsidRDefault="00000000" w:rsidRPr="00000000" w14:paraId="00000028">
      <w:pPr>
        <w:contextualSpacing w:val="0"/>
        <w:rPr/>
      </w:pPr>
      <w:r w:rsidDel="00000000" w:rsidR="00000000" w:rsidRPr="00000000">
        <w:rPr>
          <w:rtl w:val="0"/>
        </w:rPr>
        <w:t xml:space="preserve">Personalized learning: tie in to steps 4.1 and 5.1 before sharing lesson plan with Jessica (and Rich)</w:t>
      </w:r>
    </w:p>
    <w:p w:rsidR="00000000" w:rsidDel="00000000" w:rsidP="00000000" w:rsidRDefault="00000000" w:rsidRPr="00000000" w14:paraId="00000029">
      <w:pPr>
        <w:contextualSpacing w:val="0"/>
        <w:rPr/>
      </w:pPr>
      <w:r w:rsidDel="00000000" w:rsidR="00000000" w:rsidRPr="00000000">
        <w:rPr>
          <w:rtl w:val="0"/>
        </w:rPr>
      </w:r>
    </w:p>
    <w:p w:rsidR="00000000" w:rsidDel="00000000" w:rsidP="00000000" w:rsidRDefault="00000000" w:rsidRPr="00000000" w14:paraId="0000002A">
      <w:pPr>
        <w:contextualSpacing w:val="0"/>
        <w:rPr/>
      </w:pPr>
      <w:r w:rsidDel="00000000" w:rsidR="00000000" w:rsidRPr="00000000">
        <w:rPr>
          <w:rtl w:val="0"/>
        </w:rPr>
        <w:t xml:space="preserve">Slide deck: Megatrends p-Values</w:t>
      </w:r>
    </w:p>
    <w:p w:rsidR="00000000" w:rsidDel="00000000" w:rsidP="00000000" w:rsidRDefault="00000000" w:rsidRPr="00000000" w14:paraId="0000002B">
      <w:pPr>
        <w:contextualSpacing w:val="0"/>
        <w:rPr/>
      </w:pPr>
      <w:r w:rsidDel="00000000" w:rsidR="00000000" w:rsidRPr="00000000">
        <w:rPr>
          <w:rtl w:val="0"/>
        </w:rPr>
      </w:r>
    </w:p>
    <w:p w:rsidR="00000000" w:rsidDel="00000000" w:rsidP="00000000" w:rsidRDefault="00000000" w:rsidRPr="00000000" w14:paraId="0000002C">
      <w:pPr>
        <w:contextualSpacing w:val="0"/>
        <w:rPr/>
      </w:pPr>
      <w:r w:rsidDel="00000000" w:rsidR="00000000" w:rsidRPr="00000000">
        <w:rPr>
          <w:rtl w:val="0"/>
        </w:rPr>
        <w:t xml:space="preserve">My philosophy, as a math teacher and as a data analyst, is that managing the emotions of interacting with data requires 80% of my time and energy. Only 20% of my energy is spent collecting, printing, and distributing data. Pareto principle. So my most important work is considering how to bring data to the table without teachers and administrators getting defensive. Curiosity is my friend (Four-Phase Data Protocol), simpler than most other approaches.</w:t>
      </w:r>
    </w:p>
    <w:p w:rsidR="00000000" w:rsidDel="00000000" w:rsidP="00000000" w:rsidRDefault="00000000" w:rsidRPr="00000000" w14:paraId="0000002D">
      <w:pPr>
        <w:contextualSpacing w:val="0"/>
        <w:rPr/>
      </w:pPr>
      <w:r w:rsidDel="00000000" w:rsidR="00000000" w:rsidRPr="00000000">
        <w:rPr>
          <w:rtl w:val="0"/>
        </w:rPr>
      </w:r>
    </w:p>
    <w:p w:rsidR="00000000" w:rsidDel="00000000" w:rsidP="00000000" w:rsidRDefault="00000000" w:rsidRPr="00000000" w14:paraId="0000002E">
      <w:pPr>
        <w:contextualSpacing w:val="0"/>
        <w:rPr/>
      </w:pPr>
      <w:r w:rsidDel="00000000" w:rsidR="00000000" w:rsidRPr="00000000">
        <w:rPr>
          <w:rtl w:val="0"/>
        </w:rPr>
        <w:t xml:space="preserve">My hook:</w:t>
      </w:r>
    </w:p>
    <w:p w:rsidR="00000000" w:rsidDel="00000000" w:rsidP="00000000" w:rsidRDefault="00000000" w:rsidRPr="00000000" w14:paraId="0000002F">
      <w:pPr>
        <w:contextualSpacing w:val="0"/>
        <w:rPr/>
      </w:pPr>
      <w:r w:rsidDel="00000000" w:rsidR="00000000" w:rsidRPr="00000000">
        <w:rPr>
          <w:rtl w:val="0"/>
        </w:rPr>
      </w:r>
    </w:p>
    <w:p w:rsidR="00000000" w:rsidDel="00000000" w:rsidP="00000000" w:rsidRDefault="00000000" w:rsidRPr="00000000" w14:paraId="00000030">
      <w:pPr>
        <w:contextualSpacing w:val="0"/>
        <w:rPr/>
      </w:pPr>
      <w:r w:rsidDel="00000000" w:rsidR="00000000" w:rsidRPr="00000000">
        <w:rPr>
          <w:rtl w:val="0"/>
        </w:rPr>
        <w:t xml:space="preserve">Teachers and principals aren’t crazy, APPR and VAM measures are not only unreliable, but also unconstitutional. The courts have found this over and over and over again.</w:t>
      </w:r>
    </w:p>
    <w:p w:rsidR="00000000" w:rsidDel="00000000" w:rsidP="00000000" w:rsidRDefault="00000000" w:rsidRPr="00000000" w14:paraId="00000031">
      <w:pPr>
        <w:contextualSpacing w:val="0"/>
        <w:rPr/>
      </w:pPr>
      <w:r w:rsidDel="00000000" w:rsidR="00000000" w:rsidRPr="00000000">
        <w:rPr>
          <w:rtl w:val="0"/>
        </w:rPr>
      </w:r>
    </w:p>
    <w:p w:rsidR="00000000" w:rsidDel="00000000" w:rsidP="00000000" w:rsidRDefault="00000000" w:rsidRPr="00000000" w14:paraId="00000032">
      <w:pPr>
        <w:contextualSpacing w:val="0"/>
        <w:rPr/>
      </w:pPr>
      <w:r w:rsidDel="00000000" w:rsidR="00000000" w:rsidRPr="00000000">
        <w:rPr>
          <w:rtl w:val="0"/>
        </w:rPr>
        <w:t xml:space="preserve">Ooooh, interactive scatterplot </w:t>
      </w:r>
      <w:hyperlink r:id="rId6">
        <w:r w:rsidDel="00000000" w:rsidR="00000000" w:rsidRPr="00000000">
          <w:rPr>
            <w:color w:val="1155cc"/>
            <w:u w:val="single"/>
            <w:rtl w:val="0"/>
          </w:rPr>
          <w:t xml:space="preserve">https://www.nytimes.com/interactive/2016/04/29/upshot/money-race-and-success-how-your-school-district-compares.html</w:t>
        </w:r>
      </w:hyperlink>
      <w:r w:rsidDel="00000000" w:rsidR="00000000" w:rsidRPr="00000000">
        <w:rPr>
          <w:rtl w:val="0"/>
        </w:rPr>
      </w:r>
    </w:p>
    <w:p w:rsidR="00000000" w:rsidDel="00000000" w:rsidP="00000000" w:rsidRDefault="00000000" w:rsidRPr="00000000" w14:paraId="00000033">
      <w:pPr>
        <w:contextualSpacing w:val="0"/>
        <w:rPr/>
      </w:pPr>
      <w:r w:rsidDel="00000000" w:rsidR="00000000" w:rsidRPr="00000000">
        <w:rPr>
          <w:rtl w:val="0"/>
        </w:rPr>
        <w:t xml:space="preserve">Connect to WNYRIC’s scatterplot tool, credit the guys for their amazing work making student learning outcomes more manageable</w:t>
      </w:r>
    </w:p>
    <w:p w:rsidR="00000000" w:rsidDel="00000000" w:rsidP="00000000" w:rsidRDefault="00000000" w:rsidRPr="00000000" w14:paraId="00000034">
      <w:pPr>
        <w:contextualSpacing w:val="0"/>
        <w:rPr/>
      </w:pPr>
      <w:r w:rsidDel="00000000" w:rsidR="00000000" w:rsidRPr="00000000">
        <w:rPr>
          <w:rtl w:val="0"/>
        </w:rPr>
      </w:r>
    </w:p>
    <w:p w:rsidR="00000000" w:rsidDel="00000000" w:rsidP="00000000" w:rsidRDefault="00000000" w:rsidRPr="00000000" w14:paraId="00000035">
      <w:pPr>
        <w:contextualSpacing w:val="0"/>
        <w:rPr/>
      </w:pPr>
      <w:r w:rsidDel="00000000" w:rsidR="00000000" w:rsidRPr="00000000">
        <w:rPr>
          <w:rtl w:val="0"/>
        </w:rPr>
        <w:t xml:space="preserve">The box plot / fancy style by Regents exam were fascinating</w:t>
      </w:r>
    </w:p>
    <w:p w:rsidR="00000000" w:rsidDel="00000000" w:rsidP="00000000" w:rsidRDefault="00000000" w:rsidRPr="00000000" w14:paraId="00000036">
      <w:pPr>
        <w:contextualSpacing w:val="0"/>
        <w:rPr/>
      </w:pPr>
      <w:r w:rsidDel="00000000" w:rsidR="00000000" w:rsidRPr="00000000">
        <w:rPr>
          <w:rtl w:val="0"/>
        </w:rPr>
        <w:t xml:space="preserve">Again, credit their work and place is a broader context</w:t>
      </w:r>
    </w:p>
    <w:p w:rsidR="00000000" w:rsidDel="00000000" w:rsidP="00000000" w:rsidRDefault="00000000" w:rsidRPr="00000000" w14:paraId="00000037">
      <w:pPr>
        <w:contextualSpacing w:val="0"/>
        <w:rPr/>
      </w:pPr>
      <w:r w:rsidDel="00000000" w:rsidR="00000000" w:rsidRPr="00000000">
        <w:rPr>
          <w:rtl w:val="0"/>
        </w:rPr>
      </w:r>
    </w:p>
    <w:p w:rsidR="00000000" w:rsidDel="00000000" w:rsidP="00000000" w:rsidRDefault="00000000" w:rsidRPr="00000000" w14:paraId="00000038">
      <w:pPr>
        <w:contextualSpacing w:val="0"/>
        <w:rPr/>
      </w:pPr>
      <w:r w:rsidDel="00000000" w:rsidR="00000000" w:rsidRPr="00000000">
        <w:rPr>
          <w:rtl w:val="0"/>
        </w:rPr>
        <w:t xml:space="preserve">Perhaps interesting data can be found on this page of infographics</w:t>
      </w:r>
    </w:p>
    <w:p w:rsidR="00000000" w:rsidDel="00000000" w:rsidP="00000000" w:rsidRDefault="00000000" w:rsidRPr="00000000" w14:paraId="00000039">
      <w:pPr>
        <w:contextualSpacing w:val="0"/>
        <w:rPr/>
      </w:pPr>
      <w:hyperlink r:id="rId7">
        <w:r w:rsidDel="00000000" w:rsidR="00000000" w:rsidRPr="00000000">
          <w:rPr>
            <w:color w:val="1155cc"/>
            <w:u w:val="single"/>
            <w:rtl w:val="0"/>
          </w:rPr>
          <w:t xml:space="preserve">https://www.edweek.org/ew/section/infographics/index.html</w:t>
        </w:r>
      </w:hyperlink>
      <w:r w:rsidDel="00000000" w:rsidR="00000000" w:rsidRPr="00000000">
        <w:rPr>
          <w:rtl w:val="0"/>
        </w:rPr>
      </w:r>
    </w:p>
    <w:p w:rsidR="00000000" w:rsidDel="00000000" w:rsidP="00000000" w:rsidRDefault="00000000" w:rsidRPr="00000000" w14:paraId="0000003A">
      <w:pPr>
        <w:contextualSpacing w:val="0"/>
        <w:rPr/>
      </w:pPr>
      <w:r w:rsidDel="00000000" w:rsidR="00000000" w:rsidRPr="00000000">
        <w:rPr>
          <w:rtl w:val="0"/>
        </w:rPr>
      </w:r>
    </w:p>
    <w:p w:rsidR="00000000" w:rsidDel="00000000" w:rsidP="00000000" w:rsidRDefault="00000000" w:rsidRPr="00000000" w14:paraId="0000003B">
      <w:pPr>
        <w:contextualSpacing w:val="0"/>
        <w:rPr/>
      </w:pPr>
      <w:r w:rsidDel="00000000" w:rsidR="00000000" w:rsidRPr="00000000">
        <w:rPr>
          <w:rtl w:val="0"/>
        </w:rPr>
        <w:t xml:space="preserve">Borrow and link to high-quality resources, supplement with my original findings</w:t>
      </w:r>
    </w:p>
    <w:p w:rsidR="00000000" w:rsidDel="00000000" w:rsidP="00000000" w:rsidRDefault="00000000" w:rsidRPr="00000000" w14:paraId="0000003C">
      <w:pPr>
        <w:contextualSpacing w:val="0"/>
        <w:rPr/>
      </w:pPr>
      <w:r w:rsidDel="00000000" w:rsidR="00000000" w:rsidRPr="00000000">
        <w:rPr>
          <w:rtl w:val="0"/>
        </w:rPr>
      </w:r>
    </w:p>
    <w:p w:rsidR="00000000" w:rsidDel="00000000" w:rsidP="00000000" w:rsidRDefault="00000000" w:rsidRPr="00000000" w14:paraId="0000003D">
      <w:pPr>
        <w:contextualSpacing w:val="0"/>
        <w:rPr/>
      </w:pPr>
      <w:r w:rsidDel="00000000" w:rsidR="00000000" w:rsidRPr="00000000">
        <w:rPr>
          <w:rtl w:val="0"/>
        </w:rPr>
        <w:t xml:space="preserve">Check out the AMTNYS call with “Paul” from the office of assessment??? Don’t use scaled Regents exam scores on report cards. Districts can even make their own score conversion charts!</w:t>
      </w:r>
    </w:p>
    <w:p w:rsidR="00000000" w:rsidDel="00000000" w:rsidP="00000000" w:rsidRDefault="00000000" w:rsidRPr="00000000" w14:paraId="0000003E">
      <w:pPr>
        <w:contextualSpacing w:val="0"/>
        <w:rPr/>
      </w:pPr>
      <w:r w:rsidDel="00000000" w:rsidR="00000000" w:rsidRPr="00000000">
        <w:rPr>
          <w:rtl w:val="0"/>
        </w:rPr>
      </w:r>
    </w:p>
    <w:p w:rsidR="00000000" w:rsidDel="00000000" w:rsidP="00000000" w:rsidRDefault="00000000" w:rsidRPr="00000000" w14:paraId="0000003F">
      <w:pPr>
        <w:contextualSpacing w:val="0"/>
        <w:rPr/>
      </w:pPr>
      <w:r w:rsidDel="00000000" w:rsidR="00000000" w:rsidRPr="00000000">
        <w:rPr>
          <w:rtl w:val="0"/>
        </w:rPr>
        <w:t xml:space="preserve">Targeted use of technology</w:t>
      </w:r>
    </w:p>
    <w:p w:rsidR="00000000" w:rsidDel="00000000" w:rsidP="00000000" w:rsidRDefault="00000000" w:rsidRPr="00000000" w14:paraId="00000040">
      <w:pPr>
        <w:contextualSpacing w:val="0"/>
        <w:rPr/>
      </w:pPr>
      <w:r w:rsidDel="00000000" w:rsidR="00000000" w:rsidRPr="00000000">
        <w:rPr>
          <w:rtl w:val="0"/>
        </w:rPr>
      </w:r>
    </w:p>
    <w:p w:rsidR="00000000" w:rsidDel="00000000" w:rsidP="00000000" w:rsidRDefault="00000000" w:rsidRPr="00000000" w14:paraId="00000041">
      <w:pPr>
        <w:contextualSpacing w:val="0"/>
        <w:rPr>
          <w:highlight w:val="green"/>
        </w:rPr>
      </w:pPr>
      <w:r w:rsidDel="00000000" w:rsidR="00000000" w:rsidRPr="00000000">
        <w:rPr>
          <w:highlight w:val="green"/>
          <w:rtl w:val="0"/>
        </w:rPr>
        <w:t xml:space="preserve">Mindfulness techniques</w:t>
      </w:r>
    </w:p>
    <w:p w:rsidR="00000000" w:rsidDel="00000000" w:rsidP="00000000" w:rsidRDefault="00000000" w:rsidRPr="00000000" w14:paraId="00000042">
      <w:pPr>
        <w:contextualSpacing w:val="0"/>
        <w:rPr>
          <w:highlight w:val="green"/>
        </w:rPr>
      </w:pPr>
      <w:r w:rsidDel="00000000" w:rsidR="00000000" w:rsidRPr="00000000">
        <w:rPr>
          <w:rtl w:val="0"/>
        </w:rPr>
      </w:r>
    </w:p>
    <w:p w:rsidR="00000000" w:rsidDel="00000000" w:rsidP="00000000" w:rsidRDefault="00000000" w:rsidRPr="00000000" w14:paraId="00000043">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160" w:before="300" w:line="330" w:lineRule="auto"/>
        <w:contextualSpacing w:val="0"/>
        <w:rPr>
          <w:b w:val="1"/>
          <w:color w:val="111111"/>
          <w:sz w:val="24"/>
          <w:szCs w:val="24"/>
          <w:highlight w:val="green"/>
        </w:rPr>
      </w:pPr>
      <w:bookmarkStart w:colFirst="0" w:colLast="0" w:name="_svsh1m58enh6" w:id="0"/>
      <w:bookmarkEnd w:id="0"/>
      <w:r w:rsidDel="00000000" w:rsidR="00000000" w:rsidRPr="00000000">
        <w:rPr>
          <w:b w:val="1"/>
          <w:color w:val="111111"/>
          <w:sz w:val="24"/>
          <w:szCs w:val="24"/>
          <w:highlight w:val="green"/>
          <w:rtl w:val="0"/>
        </w:rPr>
        <w:t xml:space="preserve">Stare at the center</w:t>
      </w:r>
    </w:p>
    <w:p w:rsidR="00000000" w:rsidDel="00000000" w:rsidP="00000000" w:rsidRDefault="00000000" w:rsidRPr="00000000" w14:paraId="00000044">
      <w:pPr>
        <w:pBdr>
          <w:top w:color="auto" w:space="0" w:sz="0" w:val="none"/>
          <w:left w:color="auto" w:space="0" w:sz="0" w:val="none"/>
          <w:bottom w:color="auto" w:space="0" w:sz="0" w:val="none"/>
          <w:right w:color="auto" w:space="0" w:sz="0" w:val="none"/>
          <w:between w:color="auto" w:space="0" w:sz="0" w:val="none"/>
        </w:pBdr>
        <w:shd w:fill="ffffff" w:val="clear"/>
        <w:spacing w:after="300" w:lineRule="auto"/>
        <w:contextualSpacing w:val="0"/>
        <w:rPr>
          <w:color w:val="505050"/>
          <w:highlight w:val="green"/>
        </w:rPr>
      </w:pPr>
      <w:r w:rsidDel="00000000" w:rsidR="00000000" w:rsidRPr="00000000">
        <w:rPr>
          <w:color w:val="505050"/>
          <w:highlight w:val="green"/>
          <w:rtl w:val="0"/>
        </w:rPr>
        <w:t xml:space="preserve">The goal is simple: to focus your attention on the center of the shifting pattern of color. You can let your mind wander freely, noticing whatever thoughts come into your head but staying in the present.</w:t>
      </w:r>
    </w:p>
    <w:p w:rsidR="00000000" w:rsidDel="00000000" w:rsidP="00000000" w:rsidRDefault="00000000" w:rsidRPr="00000000" w14:paraId="00000045">
      <w:pPr>
        <w:pBdr>
          <w:top w:color="auto" w:space="0" w:sz="0" w:val="none"/>
          <w:left w:color="auto" w:space="0" w:sz="0" w:val="none"/>
          <w:bottom w:color="auto" w:space="0" w:sz="0" w:val="none"/>
          <w:right w:color="auto" w:space="0" w:sz="0" w:val="none"/>
          <w:between w:color="auto" w:space="0" w:sz="0" w:val="none"/>
        </w:pBdr>
        <w:shd w:fill="ffffff" w:val="clear"/>
        <w:spacing w:after="300" w:lineRule="auto"/>
        <w:contextualSpacing w:val="0"/>
        <w:rPr>
          <w:color w:val="505050"/>
          <w:highlight w:val="green"/>
        </w:rPr>
      </w:pPr>
      <w:r w:rsidDel="00000000" w:rsidR="00000000" w:rsidRPr="00000000">
        <w:rPr>
          <w:color w:val="505050"/>
          <w:highlight w:val="green"/>
          <w:rtl w:val="0"/>
        </w:rPr>
        <w:t xml:space="preserve">This experience is similar to the well-known phenomenon of the quiet fixation that results from staring at a candle flame or a campfire.</w:t>
      </w:r>
    </w:p>
    <w:p w:rsidR="00000000" w:rsidDel="00000000" w:rsidP="00000000" w:rsidRDefault="00000000" w:rsidRPr="00000000" w14:paraId="00000046">
      <w:pPr>
        <w:pBdr>
          <w:top w:color="auto" w:space="0" w:sz="0" w:val="none"/>
          <w:left w:color="auto" w:space="0" w:sz="0" w:val="none"/>
          <w:bottom w:color="auto" w:space="0" w:sz="0" w:val="none"/>
          <w:right w:color="auto" w:space="0" w:sz="0" w:val="none"/>
          <w:between w:color="auto" w:space="0" w:sz="0" w:val="none"/>
        </w:pBdr>
        <w:shd w:fill="ffffff" w:val="clear"/>
        <w:spacing w:after="300" w:lineRule="auto"/>
        <w:contextualSpacing w:val="0"/>
        <w:rPr>
          <w:color w:val="505050"/>
          <w:highlight w:val="green"/>
        </w:rPr>
      </w:pPr>
      <w:r w:rsidDel="00000000" w:rsidR="00000000" w:rsidRPr="00000000">
        <w:rPr>
          <w:color w:val="505050"/>
          <w:highlight w:val="green"/>
          <w:rtl w:val="0"/>
        </w:rPr>
        <w:t xml:space="preserve">The same focus and deep thought can be brought on by this exercise, but be careful not to lose yourself in thought, and instead stay present in the moment and let your thoughts pass by. This exercise requires a video to practice, you can use the one below:</w:t>
      </w:r>
    </w:p>
    <w:p w:rsidR="00000000" w:rsidDel="00000000" w:rsidP="00000000" w:rsidRDefault="00000000" w:rsidRPr="00000000" w14:paraId="00000047">
      <w:pPr>
        <w:contextualSpacing w:val="0"/>
        <w:rPr>
          <w:highlight w:val="green"/>
        </w:rPr>
      </w:pPr>
      <w:hyperlink r:id="rId8">
        <w:r w:rsidDel="00000000" w:rsidR="00000000" w:rsidRPr="00000000">
          <w:rPr>
            <w:color w:val="1155cc"/>
            <w:highlight w:val="green"/>
            <w:u w:val="single"/>
            <w:rtl w:val="0"/>
          </w:rPr>
          <w:t xml:space="preserve">https://www.youtube.com/watch?time_continue=88&amp;v=rvgBPtn2JHc</w:t>
        </w:r>
      </w:hyperlink>
      <w:r w:rsidDel="00000000" w:rsidR="00000000" w:rsidRPr="00000000">
        <w:rPr>
          <w:rtl w:val="0"/>
        </w:rPr>
      </w:r>
    </w:p>
    <w:p w:rsidR="00000000" w:rsidDel="00000000" w:rsidP="00000000" w:rsidRDefault="00000000" w:rsidRPr="00000000" w14:paraId="00000048">
      <w:pPr>
        <w:contextualSpacing w:val="0"/>
        <w:rPr>
          <w:highlight w:val="green"/>
        </w:rPr>
      </w:pPr>
      <w:r w:rsidDel="00000000" w:rsidR="00000000" w:rsidRPr="00000000">
        <w:rPr>
          <w:rtl w:val="0"/>
        </w:rPr>
      </w:r>
    </w:p>
    <w:sectPr>
      <w:pgSz w:h="16838" w:w="11906"/>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nytimes.com/interactive/2016/04/29/upshot/money-race-and-success-how-your-school-district-compares.html" TargetMode="External"/><Relationship Id="rId7" Type="http://schemas.openxmlformats.org/officeDocument/2006/relationships/hyperlink" Target="https://www.edweek.org/ew/section/infographics/index.html" TargetMode="External"/><Relationship Id="rId8" Type="http://schemas.openxmlformats.org/officeDocument/2006/relationships/hyperlink" Target="https://www.youtube.com/watch?time_continue=88&amp;v=rvgBPtn2JH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