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Pr>
        <w:drawing>
          <wp:anchor allowOverlap="1" behindDoc="0" distB="114300" distT="114300" distL="114300" distR="114300" hidden="0" layoutInCell="1" locked="0" relativeHeight="0" simplePos="0">
            <wp:simplePos x="0" y="0"/>
            <wp:positionH relativeFrom="page">
              <wp:posOffset>2433638</wp:posOffset>
            </wp:positionH>
            <wp:positionV relativeFrom="page">
              <wp:posOffset>200025</wp:posOffset>
            </wp:positionV>
            <wp:extent cx="2952750" cy="10858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2750" cy="10858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Merriweather" w:cs="Merriweather" w:eastAsia="Merriweather" w:hAnsi="Merriweather"/>
          <w:b w:val="1"/>
          <w:sz w:val="26"/>
          <w:szCs w:val="26"/>
        </w:rPr>
      </w:pPr>
      <w:r w:rsidDel="00000000" w:rsidR="00000000" w:rsidRPr="00000000">
        <w:rPr>
          <w:rtl w:val="0"/>
        </w:rPr>
      </w:r>
    </w:p>
    <w:p w:rsidR="00000000" w:rsidDel="00000000" w:rsidP="00000000" w:rsidRDefault="00000000" w:rsidRPr="00000000" w14:paraId="00000003">
      <w:pPr>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04">
      <w:pPr>
        <w:jc w:val="center"/>
        <w:rPr>
          <w:rFonts w:ascii="Merriweather" w:cs="Merriweather" w:eastAsia="Merriweather" w:hAnsi="Merriweather"/>
          <w:b w:val="1"/>
          <w:sz w:val="10"/>
          <w:szCs w:val="1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hd w:fill="ffffff" w:val="clear"/>
              <w:spacing w:before="0" w:line="240" w:lineRule="auto"/>
              <w:jc w:val="center"/>
              <w:rPr>
                <w:b w:val="1"/>
                <w:color w:val="e18937"/>
                <w:sz w:val="30"/>
                <w:szCs w:val="30"/>
                <w:u w:val="single"/>
              </w:rPr>
            </w:pPr>
            <w:r w:rsidDel="00000000" w:rsidR="00000000" w:rsidRPr="00000000">
              <w:rPr>
                <w:b w:val="1"/>
                <w:color w:val="e18937"/>
                <w:sz w:val="30"/>
                <w:szCs w:val="30"/>
                <w:u w:val="single"/>
                <w:rtl w:val="0"/>
              </w:rPr>
              <w:t xml:space="preserve">Overview</w:t>
            </w:r>
          </w:p>
          <w:p w:rsidR="00000000" w:rsidDel="00000000" w:rsidP="00000000" w:rsidRDefault="00000000" w:rsidRPr="00000000" w14:paraId="00000006">
            <w:pPr>
              <w:widowControl w:val="0"/>
              <w:shd w:fill="ffffff" w:val="clear"/>
              <w:spacing w:before="0" w:line="240" w:lineRule="auto"/>
              <w:rPr>
                <w:b w:val="1"/>
                <w:color w:val="333333"/>
                <w:sz w:val="18"/>
                <w:szCs w:val="18"/>
              </w:rPr>
            </w:pPr>
            <w:r w:rsidDel="00000000" w:rsidR="00000000" w:rsidRPr="00000000">
              <w:rPr>
                <w:b w:val="1"/>
                <w:color w:val="333333"/>
                <w:sz w:val="18"/>
                <w:szCs w:val="18"/>
                <w:rtl w:val="0"/>
              </w:rPr>
              <w:t xml:space="preserve"> </w:t>
            </w:r>
          </w:p>
          <w:p w:rsidR="00000000" w:rsidDel="00000000" w:rsidP="00000000" w:rsidRDefault="00000000" w:rsidRPr="00000000" w14:paraId="00000007">
            <w:pPr>
              <w:widowControl w:val="0"/>
              <w:shd w:fill="ffffff" w:val="clear"/>
              <w:spacing w:before="0" w:line="240" w:lineRule="auto"/>
              <w:rPr>
                <w:color w:val="333333"/>
              </w:rPr>
            </w:pPr>
            <w:r w:rsidDel="00000000" w:rsidR="00000000" w:rsidRPr="00000000">
              <w:rPr>
                <w:color w:val="333333"/>
                <w:rtl w:val="0"/>
              </w:rPr>
              <w:t xml:space="preserve">There are many challenging educational and training opportunities within the high-skilled world of </w:t>
            </w:r>
            <w:r w:rsidDel="00000000" w:rsidR="00000000" w:rsidRPr="00000000">
              <w:rPr>
                <w:b w:val="1"/>
                <w:color w:val="333333"/>
                <w:rtl w:val="0"/>
              </w:rPr>
              <w:t xml:space="preserve">Health Science</w:t>
            </w:r>
            <w:r w:rsidDel="00000000" w:rsidR="00000000" w:rsidRPr="00000000">
              <w:rPr>
                <w:color w:val="333333"/>
                <w:rtl w:val="0"/>
              </w:rPr>
              <w:t xml:space="preserve">. There are five pathways - </w:t>
            </w:r>
            <w:r w:rsidDel="00000000" w:rsidR="00000000" w:rsidRPr="00000000">
              <w:rPr>
                <w:i w:val="1"/>
                <w:color w:val="333333"/>
                <w:rtl w:val="0"/>
              </w:rPr>
              <w:t xml:space="preserve">Therapeutic Services, Diagnostic Services, Health Informatics, Support Services, and Biotechnology Research and Development.</w:t>
            </w:r>
            <w:r w:rsidDel="00000000" w:rsidR="00000000" w:rsidRPr="00000000">
              <w:rPr>
                <w:color w:val="333333"/>
                <w:rtl w:val="0"/>
              </w:rPr>
              <w:t xml:space="preserve">  Learners need a solid background in math, science, communications, and technical skills. Education and training can be obtained in high schools, technical colleges/institutes and universities.</w:t>
            </w:r>
          </w:p>
          <w:p w:rsidR="00000000" w:rsidDel="00000000" w:rsidP="00000000" w:rsidRDefault="00000000" w:rsidRPr="00000000" w14:paraId="00000008">
            <w:pPr>
              <w:widowControl w:val="0"/>
              <w:shd w:fill="ffffff" w:val="clear"/>
              <w:spacing w:before="0" w:line="240" w:lineRule="auto"/>
              <w:rPr>
                <w:color w:val="333333"/>
              </w:rPr>
            </w:pPr>
            <w:r w:rsidDel="00000000" w:rsidR="00000000" w:rsidRPr="00000000">
              <w:rPr>
                <w:rtl w:val="0"/>
              </w:rPr>
            </w:r>
          </w:p>
          <w:p w:rsidR="00000000" w:rsidDel="00000000" w:rsidP="00000000" w:rsidRDefault="00000000" w:rsidRPr="00000000" w14:paraId="00000009">
            <w:pPr>
              <w:widowControl w:val="0"/>
              <w:shd w:fill="ffffff" w:val="clear"/>
              <w:spacing w:before="0" w:line="240" w:lineRule="auto"/>
              <w:rPr>
                <w:color w:val="333333"/>
              </w:rPr>
            </w:pPr>
            <w:r w:rsidDel="00000000" w:rsidR="00000000" w:rsidRPr="00000000">
              <w:rPr>
                <w:color w:val="333333"/>
                <w:rtl w:val="0"/>
              </w:rPr>
              <w:t xml:space="preserve">This Health Science Career Cluster orients students to careers that promote health, wellness, and diagnosis as well as treat injuries and diseases. Some of the careers involve working directly with people, while others involve research into diseases or collecting and formatting data and information. Work locations are varied and may be in hospitals, medical or dental offices or laboratories, cruise ships, medivac units, sports arenas, space centers, or within the community.</w:t>
            </w:r>
          </w:p>
          <w:p w:rsidR="00000000" w:rsidDel="00000000" w:rsidP="00000000" w:rsidRDefault="00000000" w:rsidRPr="00000000" w14:paraId="0000000A">
            <w:pPr>
              <w:widowControl w:val="0"/>
              <w:shd w:fill="ffffff" w:val="clear"/>
              <w:spacing w:before="0" w:line="240" w:lineRule="auto"/>
              <w:rPr>
                <w:color w:val="333333"/>
              </w:rPr>
            </w:pPr>
            <w:r w:rsidDel="00000000" w:rsidR="00000000" w:rsidRPr="00000000">
              <w:rPr>
                <w:rtl w:val="0"/>
              </w:rPr>
            </w:r>
          </w:p>
        </w:tc>
      </w:tr>
    </w:tbl>
    <w:p w:rsidR="00000000" w:rsidDel="00000000" w:rsidP="00000000" w:rsidRDefault="00000000" w:rsidRPr="00000000" w14:paraId="0000000B">
      <w:pPr>
        <w:rPr>
          <w:rFonts w:ascii="Merriweather" w:cs="Merriweather" w:eastAsia="Merriweather" w:hAnsi="Merriweather"/>
          <w:b w:val="1"/>
          <w:sz w:val="18"/>
          <w:szCs w:val="1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hd w:fill="ffffff" w:val="clear"/>
              <w:spacing w:after="0" w:before="0" w:line="240" w:lineRule="auto"/>
              <w:jc w:val="center"/>
              <w:rPr>
                <w:b w:val="1"/>
                <w:color w:val="e18937"/>
                <w:sz w:val="30"/>
                <w:szCs w:val="30"/>
                <w:u w:val="single"/>
              </w:rPr>
            </w:pPr>
            <w:r w:rsidDel="00000000" w:rsidR="00000000" w:rsidRPr="00000000">
              <w:rPr>
                <w:b w:val="1"/>
                <w:color w:val="e18937"/>
                <w:sz w:val="30"/>
                <w:szCs w:val="30"/>
                <w:u w:val="single"/>
                <w:rtl w:val="0"/>
              </w:rPr>
              <w:t xml:space="preserve">Employment Outlook</w:t>
            </w:r>
          </w:p>
          <w:p w:rsidR="00000000" w:rsidDel="00000000" w:rsidP="00000000" w:rsidRDefault="00000000" w:rsidRPr="00000000" w14:paraId="0000000D">
            <w:pPr>
              <w:widowControl w:val="0"/>
              <w:spacing w:after="0" w:before="0" w:line="240" w:lineRule="auto"/>
              <w:rPr>
                <w:b w:val="1"/>
                <w:color w:val="333333"/>
                <w:sz w:val="18"/>
                <w:szCs w:val="18"/>
              </w:rPr>
            </w:pPr>
            <w:r w:rsidDel="00000000" w:rsidR="00000000" w:rsidRPr="00000000">
              <w:rPr>
                <w:b w:val="1"/>
                <w:color w:val="333333"/>
                <w:sz w:val="18"/>
                <w:szCs w:val="18"/>
                <w:rtl w:val="0"/>
              </w:rPr>
              <w:t xml:space="preserve"> </w:t>
            </w:r>
          </w:p>
          <w:p w:rsidR="00000000" w:rsidDel="00000000" w:rsidP="00000000" w:rsidRDefault="00000000" w:rsidRPr="00000000" w14:paraId="0000000E">
            <w:pPr>
              <w:widowControl w:val="0"/>
              <w:spacing w:after="0" w:before="0" w:line="240" w:lineRule="auto"/>
              <w:rPr>
                <w:color w:val="333333"/>
              </w:rPr>
            </w:pPr>
            <w:r w:rsidDel="00000000" w:rsidR="00000000" w:rsidRPr="00000000">
              <w:rPr>
                <w:color w:val="333333"/>
                <w:rtl w:val="0"/>
              </w:rPr>
              <w:t xml:space="preserve">Employment of healthcare occupations is projected to grow 19 percent through 2024, much faster than the average for all occupations. This growth is expected due to an aging population and because federal health insurance reform should increase the number of individuals who have access to health insurance. </w:t>
            </w:r>
          </w:p>
          <w:p w:rsidR="00000000" w:rsidDel="00000000" w:rsidP="00000000" w:rsidRDefault="00000000" w:rsidRPr="00000000" w14:paraId="0000000F">
            <w:pPr>
              <w:widowControl w:val="0"/>
              <w:spacing w:after="0" w:before="0" w:line="240" w:lineRule="auto"/>
              <w:rPr>
                <w:color w:val="333333"/>
              </w:rPr>
            </w:pPr>
            <w:r w:rsidDel="00000000" w:rsidR="00000000" w:rsidRPr="00000000">
              <w:rPr>
                <w:rtl w:val="0"/>
              </w:rPr>
            </w:r>
          </w:p>
          <w:p w:rsidR="00000000" w:rsidDel="00000000" w:rsidP="00000000" w:rsidRDefault="00000000" w:rsidRPr="00000000" w14:paraId="00000010">
            <w:pPr>
              <w:widowControl w:val="0"/>
              <w:spacing w:after="0" w:before="0" w:line="240" w:lineRule="auto"/>
              <w:rPr>
                <w:color w:val="333333"/>
              </w:rPr>
            </w:pPr>
            <w:r w:rsidDel="00000000" w:rsidR="00000000" w:rsidRPr="00000000">
              <w:rPr>
                <w:color w:val="333333"/>
                <w:rtl w:val="0"/>
              </w:rPr>
              <w:t xml:space="preserve">The median annual wage for healthcare practitioners and technical occupations (such as registered nurses, physicians and surgeons, and dental hygienists) is $61,710, which is higher than the median annual wage for all occupations in the economy of $35,540. However, healthcare support occupations (such as home health aides, occupational therapy assistants, and medical transcriptionists) has a median annual wage of $26,440, lower than the median annual wage for all occupations in the economy. </w:t>
            </w:r>
          </w:p>
          <w:p w:rsidR="00000000" w:rsidDel="00000000" w:rsidP="00000000" w:rsidRDefault="00000000" w:rsidRPr="00000000" w14:paraId="00000011">
            <w:pPr>
              <w:widowControl w:val="0"/>
              <w:spacing w:after="0" w:before="0" w:line="240" w:lineRule="auto"/>
              <w:rPr>
                <w:color w:val="333333"/>
              </w:rPr>
            </w:pPr>
            <w:r w:rsidDel="00000000" w:rsidR="00000000" w:rsidRPr="00000000">
              <w:rPr>
                <w:rtl w:val="0"/>
              </w:rPr>
            </w:r>
          </w:p>
          <w:p w:rsidR="00000000" w:rsidDel="00000000" w:rsidP="00000000" w:rsidRDefault="00000000" w:rsidRPr="00000000" w14:paraId="00000012">
            <w:pPr>
              <w:widowControl w:val="0"/>
              <w:spacing w:after="0" w:before="0" w:line="240" w:lineRule="auto"/>
              <w:rPr>
                <w:color w:val="333333"/>
              </w:rPr>
            </w:pPr>
            <w:r w:rsidDel="00000000" w:rsidR="00000000" w:rsidRPr="00000000">
              <w:rPr>
                <w:color w:val="333333"/>
                <w:rtl w:val="0"/>
              </w:rPr>
              <w:t xml:space="preserve">Home health aides are predicted to grow by 38 percent, medical assistants will grow by 23 percent, and physician assistants will grow by 30 percent. The continued growth in both the aging and general population, as well as an increase in several chronic diseases, such as diabetes, will drive the need for more healthcare jobs.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10"/>
                <w:szCs w:val="10"/>
              </w:rPr>
            </w:pPr>
            <w:r w:rsidDel="00000000" w:rsidR="00000000" w:rsidRPr="00000000">
              <w:rPr>
                <w:rtl w:val="0"/>
              </w:rPr>
            </w:r>
          </w:p>
        </w:tc>
      </w:tr>
    </w:tbl>
    <w:p w:rsidR="00000000" w:rsidDel="00000000" w:rsidP="00000000" w:rsidRDefault="00000000" w:rsidRPr="00000000" w14:paraId="00000014">
      <w:pPr>
        <w:rPr>
          <w:rFonts w:ascii="Merriweather" w:cs="Merriweather" w:eastAsia="Merriweather" w:hAnsi="Merriweather"/>
          <w:b w:val="1"/>
          <w:sz w:val="18"/>
          <w:szCs w:val="1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e18937"/>
                <w:sz w:val="30"/>
                <w:szCs w:val="30"/>
                <w:u w:val="single"/>
              </w:rPr>
            </w:pPr>
            <w:r w:rsidDel="00000000" w:rsidR="00000000" w:rsidRPr="00000000">
              <w:rPr>
                <w:b w:val="1"/>
                <w:color w:val="e18937"/>
                <w:sz w:val="30"/>
                <w:szCs w:val="30"/>
                <w:u w:val="single"/>
                <w:rtl w:val="0"/>
              </w:rPr>
              <w:t xml:space="preserve">Related Occupations, Majors and Plan of Study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18937"/>
                <w:sz w:val="30"/>
                <w:szCs w:val="30"/>
              </w:rPr>
            </w:pPr>
            <w:r w:rsidDel="00000000" w:rsidR="00000000" w:rsidRPr="00000000">
              <w:rPr>
                <w:rtl w:val="0"/>
              </w:rPr>
            </w:r>
          </w:p>
          <w:p w:rsidR="00000000" w:rsidDel="00000000" w:rsidP="00000000" w:rsidRDefault="00000000" w:rsidRPr="00000000" w14:paraId="00000017">
            <w:pPr>
              <w:widowControl w:val="0"/>
              <w:spacing w:line="240" w:lineRule="auto"/>
              <w:rPr>
                <w:color w:val="333333"/>
              </w:rPr>
            </w:pPr>
            <w:r w:rsidDel="00000000" w:rsidR="00000000" w:rsidRPr="00000000">
              <w:rPr>
                <w:color w:val="333333"/>
                <w:rtl w:val="0"/>
              </w:rPr>
              <w:t xml:space="preserve">For much more detailed information on occupations, majors and plan of study, log in to </w:t>
            </w:r>
            <w:hyperlink r:id="rId7">
              <w:r w:rsidDel="00000000" w:rsidR="00000000" w:rsidRPr="00000000">
                <w:rPr>
                  <w:color w:val="1155cc"/>
                  <w:u w:val="single"/>
                  <w:rtl w:val="0"/>
                </w:rPr>
                <w:t xml:space="preserve">Naviance</w:t>
              </w:r>
            </w:hyperlink>
            <w:r w:rsidDel="00000000" w:rsidR="00000000" w:rsidRPr="00000000">
              <w:rPr>
                <w:color w:val="333333"/>
                <w:rtl w:val="0"/>
              </w:rPr>
              <w:t xml:space="preserve">, click the </w:t>
            </w:r>
            <w:r w:rsidDel="00000000" w:rsidR="00000000" w:rsidRPr="00000000">
              <w:rPr>
                <w:i w:val="1"/>
                <w:color w:val="333333"/>
                <w:rtl w:val="0"/>
              </w:rPr>
              <w:t xml:space="preserve">‘Careers’ </w:t>
            </w:r>
            <w:r w:rsidDel="00000000" w:rsidR="00000000" w:rsidRPr="00000000">
              <w:rPr>
                <w:color w:val="333333"/>
                <w:rtl w:val="0"/>
              </w:rPr>
              <w:t xml:space="preserve">tab, then </w:t>
            </w:r>
            <w:r w:rsidDel="00000000" w:rsidR="00000000" w:rsidRPr="00000000">
              <w:rPr>
                <w:i w:val="1"/>
                <w:color w:val="333333"/>
                <w:rtl w:val="0"/>
              </w:rPr>
              <w:t xml:space="preserve">‘Explore Clusters and Pathways’</w:t>
            </w:r>
            <w:r w:rsidDel="00000000" w:rsidR="00000000" w:rsidRPr="00000000">
              <w:rPr>
                <w:color w:val="333333"/>
                <w:rtl w:val="0"/>
              </w:rPr>
              <w:t xml:space="preserve">, then choose your cluster!  It is very interactive - you are able to work within a cluster and explore pathways, occupations within that pathway, as well as wages, related majors and SO MUCH MORE.</w:t>
            </w:r>
          </w:p>
          <w:p w:rsidR="00000000" w:rsidDel="00000000" w:rsidP="00000000" w:rsidRDefault="00000000" w:rsidRPr="00000000" w14:paraId="00000018">
            <w:pPr>
              <w:widowControl w:val="0"/>
              <w:spacing w:line="240" w:lineRule="auto"/>
              <w:rPr>
                <w:color w:val="333333"/>
              </w:rPr>
            </w:pPr>
            <w:r w:rsidDel="00000000" w:rsidR="00000000" w:rsidRPr="00000000">
              <w:rPr>
                <w:rtl w:val="0"/>
              </w:rPr>
            </w:r>
          </w:p>
          <w:p w:rsidR="00000000" w:rsidDel="00000000" w:rsidP="00000000" w:rsidRDefault="00000000" w:rsidRPr="00000000" w14:paraId="00000019">
            <w:pPr>
              <w:widowControl w:val="0"/>
              <w:spacing w:line="240" w:lineRule="auto"/>
              <w:rPr>
                <w:color w:val="333333"/>
              </w:rPr>
            </w:pPr>
            <w:r w:rsidDel="00000000" w:rsidR="00000000" w:rsidRPr="00000000">
              <w:rPr>
                <w:color w:val="333333"/>
                <w:rtl w:val="0"/>
              </w:rPr>
              <w:t xml:space="preserve">For GNHS Graduation Requirements, please click </w:t>
            </w:r>
            <w:hyperlink r:id="rId8">
              <w:r w:rsidDel="00000000" w:rsidR="00000000" w:rsidRPr="00000000">
                <w:rPr>
                  <w:color w:val="1155cc"/>
                  <w:u w:val="single"/>
                  <w:rtl w:val="0"/>
                </w:rPr>
                <w:t xml:space="preserve">HERE</w:t>
              </w:r>
            </w:hyperlink>
            <w:r w:rsidDel="00000000" w:rsidR="00000000" w:rsidRPr="00000000">
              <w:rPr>
                <w:color w:val="333333"/>
                <w:rtl w:val="0"/>
              </w:rPr>
              <w:t xml:space="preserve">.</w:t>
            </w:r>
            <w:r w:rsidDel="00000000" w:rsidR="00000000" w:rsidRPr="00000000">
              <w:rPr>
                <w:rtl w:val="0"/>
              </w:rPr>
            </w:r>
          </w:p>
        </w:tc>
      </w:tr>
    </w:tbl>
    <w:p w:rsidR="00000000" w:rsidDel="00000000" w:rsidP="00000000" w:rsidRDefault="00000000" w:rsidRPr="00000000" w14:paraId="0000001A">
      <w:pPr>
        <w:rPr>
          <w:rFonts w:ascii="Merriweather" w:cs="Merriweather" w:eastAsia="Merriweather" w:hAnsi="Merriweathe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rFonts w:ascii="Merriweather" w:cs="Merriweather" w:eastAsia="Merriweather" w:hAnsi="Merriweather"/>
          <w:b w:val="1"/>
          <w:sz w:val="36"/>
          <w:szCs w:val="36"/>
          <w:u w:val="single"/>
        </w:rPr>
      </w:pPr>
      <w:r w:rsidDel="00000000" w:rsidR="00000000" w:rsidRPr="00000000">
        <w:rPr>
          <w:rtl w:val="0"/>
        </w:rPr>
      </w:r>
    </w:p>
    <w:p w:rsidR="00000000" w:rsidDel="00000000" w:rsidP="00000000" w:rsidRDefault="00000000" w:rsidRPr="00000000" w14:paraId="0000001C">
      <w:pPr>
        <w:jc w:val="center"/>
        <w:rPr>
          <w:rFonts w:ascii="Merriweather" w:cs="Merriweather" w:eastAsia="Merriweather" w:hAnsi="Merriweather"/>
          <w:b w:val="1"/>
          <w:sz w:val="36"/>
          <w:szCs w:val="36"/>
          <w:u w:val="single"/>
        </w:rPr>
      </w:pPr>
      <w:r w:rsidDel="00000000" w:rsidR="00000000" w:rsidRPr="00000000">
        <w:rPr>
          <w:rtl w:val="0"/>
        </w:rPr>
      </w:r>
    </w:p>
    <w:p w:rsidR="00000000" w:rsidDel="00000000" w:rsidP="00000000" w:rsidRDefault="00000000" w:rsidRPr="00000000" w14:paraId="0000001D">
      <w:pPr>
        <w:jc w:val="center"/>
        <w:rPr>
          <w:rFonts w:ascii="Merriweather" w:cs="Merriweather" w:eastAsia="Merriweather" w:hAnsi="Merriweather"/>
          <w:b w:val="1"/>
          <w:sz w:val="36"/>
          <w:szCs w:val="36"/>
          <w:u w:val="single"/>
        </w:rPr>
      </w:pPr>
      <w:r w:rsidDel="00000000" w:rsidR="00000000" w:rsidRPr="00000000">
        <w:rPr>
          <w:rFonts w:ascii="Merriweather" w:cs="Merriweather" w:eastAsia="Merriweather" w:hAnsi="Merriweather"/>
          <w:b w:val="1"/>
          <w:sz w:val="36"/>
          <w:szCs w:val="36"/>
          <w:u w:val="single"/>
          <w:rtl w:val="0"/>
        </w:rPr>
        <w:t xml:space="preserve">GNHS Specific Information</w:t>
      </w:r>
    </w:p>
    <w:p w:rsidR="00000000" w:rsidDel="00000000" w:rsidP="00000000" w:rsidRDefault="00000000" w:rsidRPr="00000000" w14:paraId="0000001E">
      <w:pPr>
        <w:jc w:val="center"/>
        <w:rPr>
          <w:rFonts w:ascii="Merriweather" w:cs="Merriweather" w:eastAsia="Merriweather" w:hAnsi="Merriweather"/>
          <w:b w:val="1"/>
          <w:sz w:val="16"/>
          <w:szCs w:val="16"/>
        </w:rPr>
      </w:pPr>
      <w:r w:rsidDel="00000000" w:rsidR="00000000" w:rsidRPr="00000000">
        <w:rPr>
          <w:rtl w:val="0"/>
        </w:rPr>
      </w:r>
    </w:p>
    <w:p w:rsidR="00000000" w:rsidDel="00000000" w:rsidP="00000000" w:rsidRDefault="00000000" w:rsidRPr="00000000" w14:paraId="0000001F">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8"/>
          <w:szCs w:val="28"/>
          <w:rtl w:val="0"/>
        </w:rPr>
        <w:t xml:space="preserve">Career Cluster</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5"/>
        <w:gridCol w:w="3885"/>
        <w:tblGridChange w:id="0">
          <w:tblGrid>
            <w:gridCol w:w="5475"/>
            <w:gridCol w:w="3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720" w:hanging="36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PATHWAY 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ELECTIVE COURSES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3"/>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Graduation Requirements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2"/>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World Languages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4"/>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Human Anatomy and Physiology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2"/>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AP Statistics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Career Education and Work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2"/>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Adv Math Decision Making</w:t>
            </w:r>
          </w:p>
        </w:tc>
      </w:tr>
    </w:tbl>
    <w:p w:rsidR="00000000" w:rsidDel="00000000" w:rsidP="00000000" w:rsidRDefault="00000000" w:rsidRPr="00000000" w14:paraId="00000028">
      <w:pPr>
        <w:spacing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We encourage you to take at least one dual credit course in your schedule next year.</w:t>
      </w:r>
    </w:p>
    <w:p w:rsidR="00000000" w:rsidDel="00000000" w:rsidP="00000000" w:rsidRDefault="00000000" w:rsidRPr="00000000" w14:paraId="00000029">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2A">
      <w:pPr>
        <w:spacing w:line="240" w:lineRule="auto"/>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After Completing GNHS offerings- TECH Campus has Additional Dual Credit Courses to assist in maximizing your education funds.</w:t>
      </w:r>
    </w:p>
    <w:p w:rsidR="00000000" w:rsidDel="00000000" w:rsidP="00000000" w:rsidRDefault="00000000" w:rsidRPr="00000000" w14:paraId="0000002B">
      <w:pPr>
        <w:shd w:fill="ffffff" w:val="clear"/>
        <w:spacing w:after="240" w:before="240" w:line="240" w:lineRule="auto"/>
        <w:rPr>
          <w:rFonts w:ascii="Nunito" w:cs="Nunito" w:eastAsia="Nunito" w:hAnsi="Nunito"/>
          <w:sz w:val="26"/>
          <w:szCs w:val="26"/>
        </w:rPr>
      </w:pPr>
      <w:r w:rsidDel="00000000" w:rsidR="00000000" w:rsidRPr="00000000">
        <w:rPr>
          <w:rFonts w:ascii="Nunito" w:cs="Nunito" w:eastAsia="Nunito" w:hAnsi="Nunito"/>
          <w:b w:val="1"/>
          <w:color w:val="333333"/>
          <w:sz w:val="26"/>
          <w:szCs w:val="26"/>
          <w:u w:val="single"/>
          <w:rtl w:val="0"/>
        </w:rPr>
        <w:t xml:space="preserve">Certified Nursing Assistant</w:t>
      </w:r>
      <w:r w:rsidDel="00000000" w:rsidR="00000000" w:rsidRPr="00000000">
        <w:rPr>
          <w:rFonts w:ascii="Nunito" w:cs="Nunito" w:eastAsia="Nunito" w:hAnsi="Nunito"/>
          <w:color w:val="333333"/>
          <w:sz w:val="26"/>
          <w:szCs w:val="26"/>
          <w:rtl w:val="0"/>
        </w:rPr>
        <w:t xml:space="preserve">- NUR 110 - Nurse Assisting</w:t>
      </w:r>
      <w:r w:rsidDel="00000000" w:rsidR="00000000" w:rsidRPr="00000000">
        <w:rPr>
          <w:rtl w:val="0"/>
        </w:rPr>
      </w:r>
    </w:p>
    <w:p w:rsidR="00000000" w:rsidDel="00000000" w:rsidP="00000000" w:rsidRDefault="00000000" w:rsidRPr="00000000" w14:paraId="0000002C">
      <w:pPr>
        <w:spacing w:line="240" w:lineRule="auto"/>
        <w:rPr>
          <w:rFonts w:ascii="Nunito" w:cs="Nunito" w:eastAsia="Nunito" w:hAnsi="Nunito"/>
          <w:b w:val="1"/>
          <w:color w:val="333333"/>
          <w:sz w:val="26"/>
          <w:szCs w:val="26"/>
          <w:u w:val="single"/>
        </w:rPr>
      </w:pPr>
      <w:r w:rsidDel="00000000" w:rsidR="00000000" w:rsidRPr="00000000">
        <w:rPr>
          <w:rFonts w:ascii="Nunito" w:cs="Nunito" w:eastAsia="Nunito" w:hAnsi="Nunito"/>
          <w:b w:val="1"/>
          <w:color w:val="333333"/>
          <w:sz w:val="26"/>
          <w:szCs w:val="26"/>
          <w:u w:val="single"/>
          <w:rtl w:val="0"/>
        </w:rPr>
        <w:t xml:space="preserve">Biomedical Science</w:t>
      </w:r>
    </w:p>
    <w:p w:rsidR="00000000" w:rsidDel="00000000" w:rsidP="00000000" w:rsidRDefault="00000000" w:rsidRPr="00000000" w14:paraId="0000002D">
      <w:pPr>
        <w:spacing w:line="240" w:lineRule="auto"/>
        <w:rPr>
          <w:rFonts w:ascii="Nunito" w:cs="Nunito" w:eastAsia="Nunito" w:hAnsi="Nunito"/>
          <w:color w:val="333333"/>
          <w:sz w:val="26"/>
          <w:szCs w:val="26"/>
        </w:rPr>
      </w:pPr>
      <w:r w:rsidDel="00000000" w:rsidR="00000000" w:rsidRPr="00000000">
        <w:rPr>
          <w:rFonts w:ascii="Nunito" w:cs="Nunito" w:eastAsia="Nunito" w:hAnsi="Nunito"/>
          <w:color w:val="333333"/>
          <w:sz w:val="26"/>
          <w:szCs w:val="26"/>
          <w:rtl w:val="0"/>
        </w:rPr>
        <w:t xml:space="preserve">BIO SCI 1943 - Introduction to Human Anatomy and Physiology I</w:t>
      </w:r>
    </w:p>
    <w:p w:rsidR="00000000" w:rsidDel="00000000" w:rsidP="00000000" w:rsidRDefault="00000000" w:rsidRPr="00000000" w14:paraId="0000002E">
      <w:pPr>
        <w:spacing w:line="240" w:lineRule="auto"/>
        <w:rPr>
          <w:rFonts w:ascii="Nunito" w:cs="Nunito" w:eastAsia="Nunito" w:hAnsi="Nunito"/>
          <w:color w:val="333333"/>
          <w:sz w:val="26"/>
          <w:szCs w:val="26"/>
        </w:rPr>
      </w:pPr>
      <w:r w:rsidDel="00000000" w:rsidR="00000000" w:rsidRPr="00000000">
        <w:rPr>
          <w:rFonts w:ascii="Nunito" w:cs="Nunito" w:eastAsia="Nunito" w:hAnsi="Nunito"/>
          <w:color w:val="333333"/>
          <w:sz w:val="26"/>
          <w:szCs w:val="26"/>
          <w:rtl w:val="0"/>
        </w:rPr>
        <w:t xml:space="preserve">BIO SCI 1953 - Introduction to Human Anatomy and Physiology II</w:t>
      </w:r>
    </w:p>
    <w:p w:rsidR="00000000" w:rsidDel="00000000" w:rsidP="00000000" w:rsidRDefault="00000000" w:rsidRPr="00000000" w14:paraId="0000002F">
      <w:pPr>
        <w:shd w:fill="ffffff" w:val="clear"/>
        <w:spacing w:after="240" w:before="240" w:line="240" w:lineRule="auto"/>
        <w:rPr>
          <w:rFonts w:ascii="Nunito" w:cs="Nunito" w:eastAsia="Nunito" w:hAnsi="Nunito"/>
          <w:color w:val="333333"/>
          <w:sz w:val="26"/>
          <w:szCs w:val="26"/>
        </w:rPr>
      </w:pPr>
      <w:r w:rsidDel="00000000" w:rsidR="00000000" w:rsidRPr="00000000">
        <w:rPr>
          <w:rFonts w:ascii="Nunito" w:cs="Nunito" w:eastAsia="Nunito" w:hAnsi="Nunito"/>
          <w:b w:val="1"/>
          <w:color w:val="333333"/>
          <w:sz w:val="26"/>
          <w:szCs w:val="26"/>
          <w:u w:val="single"/>
          <w:rtl w:val="0"/>
        </w:rPr>
        <w:t xml:space="preserve">Emergency Medical Services</w:t>
      </w:r>
      <w:r w:rsidDel="00000000" w:rsidR="00000000" w:rsidRPr="00000000">
        <w:rPr>
          <w:rFonts w:ascii="Nunito" w:cs="Nunito" w:eastAsia="Nunito" w:hAnsi="Nunito"/>
          <w:color w:val="333333"/>
          <w:sz w:val="26"/>
          <w:szCs w:val="26"/>
          <w:rtl w:val="0"/>
        </w:rPr>
        <w:t xml:space="preserve">- EMT 111 - Emergency Medical Technician</w:t>
      </w:r>
    </w:p>
    <w:p w:rsidR="00000000" w:rsidDel="00000000" w:rsidP="00000000" w:rsidRDefault="00000000" w:rsidRPr="00000000" w14:paraId="00000030">
      <w:pPr>
        <w:spacing w:line="240" w:lineRule="auto"/>
        <w:rPr>
          <w:rFonts w:ascii="Nunito" w:cs="Nunito" w:eastAsia="Nunito" w:hAnsi="Nunito"/>
          <w:b w:val="1"/>
          <w:color w:val="333333"/>
          <w:sz w:val="26"/>
          <w:szCs w:val="26"/>
          <w:u w:val="single"/>
        </w:rPr>
      </w:pPr>
      <w:r w:rsidDel="00000000" w:rsidR="00000000" w:rsidRPr="00000000">
        <w:rPr>
          <w:rFonts w:ascii="Nunito" w:cs="Nunito" w:eastAsia="Nunito" w:hAnsi="Nunito"/>
          <w:b w:val="1"/>
          <w:color w:val="333333"/>
          <w:sz w:val="26"/>
          <w:szCs w:val="26"/>
          <w:u w:val="single"/>
          <w:rtl w:val="0"/>
        </w:rPr>
        <w:t xml:space="preserve">Medical Assisting</w:t>
      </w:r>
    </w:p>
    <w:p w:rsidR="00000000" w:rsidDel="00000000" w:rsidP="00000000" w:rsidRDefault="00000000" w:rsidRPr="00000000" w14:paraId="00000031">
      <w:pPr>
        <w:spacing w:line="240" w:lineRule="auto"/>
        <w:rPr>
          <w:rFonts w:ascii="Nunito" w:cs="Nunito" w:eastAsia="Nunito" w:hAnsi="Nunito"/>
          <w:color w:val="333333"/>
          <w:sz w:val="26"/>
          <w:szCs w:val="26"/>
        </w:rPr>
      </w:pPr>
      <w:r w:rsidDel="00000000" w:rsidR="00000000" w:rsidRPr="00000000">
        <w:rPr>
          <w:rFonts w:ascii="Nunito" w:cs="Nunito" w:eastAsia="Nunito" w:hAnsi="Nunito"/>
          <w:color w:val="333333"/>
          <w:sz w:val="26"/>
          <w:szCs w:val="26"/>
          <w:rtl w:val="0"/>
        </w:rPr>
        <w:tab/>
        <w:t xml:space="preserve">HIT 111 - Medical Terminology</w:t>
      </w:r>
    </w:p>
    <w:p w:rsidR="00000000" w:rsidDel="00000000" w:rsidP="00000000" w:rsidRDefault="00000000" w:rsidRPr="00000000" w14:paraId="00000032">
      <w:pPr>
        <w:spacing w:line="240" w:lineRule="auto"/>
        <w:ind w:firstLine="720"/>
        <w:rPr>
          <w:rFonts w:ascii="Nunito" w:cs="Nunito" w:eastAsia="Nunito" w:hAnsi="Nunito"/>
          <w:color w:val="333333"/>
          <w:sz w:val="26"/>
          <w:szCs w:val="26"/>
        </w:rPr>
      </w:pPr>
      <w:r w:rsidDel="00000000" w:rsidR="00000000" w:rsidRPr="00000000">
        <w:rPr>
          <w:rFonts w:ascii="Nunito" w:cs="Nunito" w:eastAsia="Nunito" w:hAnsi="Nunito"/>
          <w:color w:val="333333"/>
          <w:sz w:val="26"/>
          <w:szCs w:val="26"/>
          <w:rtl w:val="0"/>
        </w:rPr>
        <w:t xml:space="preserve">MOA 112 - Basic Medical Office and Billing Procedures</w:t>
      </w:r>
    </w:p>
    <w:p w:rsidR="00000000" w:rsidDel="00000000" w:rsidP="00000000" w:rsidRDefault="00000000" w:rsidRPr="00000000" w14:paraId="00000033">
      <w:pPr>
        <w:spacing w:line="240" w:lineRule="auto"/>
        <w:ind w:firstLine="720"/>
        <w:rPr>
          <w:rFonts w:ascii="Nunito" w:cs="Nunito" w:eastAsia="Nunito" w:hAnsi="Nunito"/>
          <w:color w:val="333333"/>
        </w:rPr>
      </w:pPr>
      <w:r w:rsidDel="00000000" w:rsidR="00000000" w:rsidRPr="00000000">
        <w:rPr>
          <w:rFonts w:ascii="Nunito" w:cs="Nunito" w:eastAsia="Nunito" w:hAnsi="Nunito"/>
          <w:color w:val="333333"/>
          <w:sz w:val="26"/>
          <w:szCs w:val="26"/>
          <w:rtl w:val="0"/>
        </w:rPr>
        <w:t xml:space="preserve">MOA 111 - Introduction to Medical Assisting (Articulated)</w:t>
      </w:r>
      <w:r w:rsidDel="00000000" w:rsidR="00000000" w:rsidRPr="00000000">
        <w:rPr>
          <w:rtl w:val="0"/>
        </w:rPr>
      </w:r>
    </w:p>
    <w:p w:rsidR="00000000" w:rsidDel="00000000" w:rsidP="00000000" w:rsidRDefault="00000000" w:rsidRPr="00000000" w14:paraId="00000034">
      <w:pPr>
        <w:shd w:fill="ffffff" w:val="clear"/>
        <w:spacing w:after="240" w:before="240" w:line="240" w:lineRule="auto"/>
        <w:jc w:val="center"/>
        <w:rPr>
          <w:rFonts w:ascii="Merriweather" w:cs="Merriweather" w:eastAsia="Merriweather" w:hAnsi="Merriweather"/>
          <w:b w:val="1"/>
          <w:sz w:val="28"/>
          <w:szCs w:val="28"/>
        </w:rPr>
      </w:pPr>
      <w:r w:rsidDel="00000000" w:rsidR="00000000" w:rsidRPr="00000000">
        <w:rPr>
          <w:color w:val="333333"/>
          <w:sz w:val="24"/>
          <w:szCs w:val="24"/>
          <w:rtl w:val="0"/>
        </w:rPr>
        <w:tab/>
      </w:r>
      <w:r w:rsidDel="00000000" w:rsidR="00000000" w:rsidRPr="00000000">
        <w:rPr>
          <w:rFonts w:ascii="Merriweather" w:cs="Merriweather" w:eastAsia="Merriweather" w:hAnsi="Merriweather"/>
          <w:b w:val="1"/>
          <w:sz w:val="28"/>
          <w:szCs w:val="28"/>
          <w:rtl w:val="0"/>
        </w:rPr>
        <w:t xml:space="preserve">Career Related Clubs and Activities</w:t>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Future Healthcare 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Science Olympiad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Athletics or Music Related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Psychology Club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SkillUSA- Tech Campus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National Technical Honor Society</w:t>
            </w:r>
          </w:p>
        </w:tc>
      </w:tr>
    </w:tbl>
    <w:p w:rsidR="00000000" w:rsidDel="00000000" w:rsidP="00000000" w:rsidRDefault="00000000" w:rsidRPr="00000000" w14:paraId="0000003B">
      <w:pPr>
        <w:rPr>
          <w:rFonts w:ascii="Merriweather" w:cs="Merriweather" w:eastAsia="Merriweather" w:hAnsi="Merriweather"/>
          <w:b w:val="1"/>
          <w:sz w:val="34"/>
          <w:szCs w:val="34"/>
          <w:u w:val="single"/>
        </w:rPr>
      </w:pPr>
      <w:r w:rsidDel="00000000" w:rsidR="00000000" w:rsidRPr="00000000">
        <w:rPr>
          <w:rtl w:val="0"/>
        </w:rPr>
      </w:r>
    </w:p>
    <w:p w:rsidR="00000000" w:rsidDel="00000000" w:rsidP="00000000" w:rsidRDefault="00000000" w:rsidRPr="00000000" w14:paraId="0000003C">
      <w:pPr>
        <w:rPr>
          <w:rFonts w:ascii="Merriweather" w:cs="Merriweather" w:eastAsia="Merriweather" w:hAnsi="Merriweather"/>
          <w:sz w:val="28"/>
          <w:szCs w:val="28"/>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udent.naviance.com/auth/fclookup" TargetMode="External"/><Relationship Id="rId8" Type="http://schemas.openxmlformats.org/officeDocument/2006/relationships/hyperlink" Target="https://docs.google.com/document/d/1ZN6miJV2TjKeai8_IMncg9jZ4rVNk1l7kQdnSFp_cM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