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E646E">
      <w:pPr>
        <w:jc w:val="right"/>
      </w:pPr>
      <w:r>
        <w:rPr>
          <w:b/>
          <w:bCs/>
        </w:rPr>
        <w:t>Policy: 6801</w:t>
      </w:r>
      <w:r>
        <w:rPr>
          <w:b/>
          <w:bCs/>
        </w:rPr>
        <w:br/>
        <w:t>Section: 6000 - Management Support</w:t>
      </w:r>
    </w:p>
    <w:p w:rsidR="00000000" w:rsidRDefault="000E646E">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0E646E">
      <w:pPr>
        <w:rPr>
          <w:rFonts w:ascii="Times New Roman" w:eastAsia="Times New Roman" w:hAnsi="Times New Roman"/>
          <w:sz w:val="24"/>
          <w:szCs w:val="24"/>
        </w:rPr>
      </w:pPr>
    </w:p>
    <w:p w:rsidR="00000000" w:rsidRDefault="000E646E">
      <w:pPr>
        <w:pStyle w:val="NormalWeb"/>
        <w:rPr>
          <w:sz w:val="32"/>
          <w:szCs w:val="32"/>
        </w:rPr>
      </w:pPr>
      <w:r>
        <w:rPr>
          <w:b/>
          <w:bCs/>
          <w:sz w:val="32"/>
          <w:szCs w:val="32"/>
        </w:rPr>
        <w:t>Capital Assets/Theft-Sensitive Assets</w:t>
      </w:r>
    </w:p>
    <w:p w:rsidR="00000000" w:rsidRDefault="000E646E">
      <w:pPr>
        <w:rPr>
          <w:rFonts w:ascii="Times New Roman" w:eastAsia="Times New Roman" w:hAnsi="Times New Roman"/>
          <w:sz w:val="24"/>
          <w:szCs w:val="24"/>
        </w:rPr>
      </w:pPr>
    </w:p>
    <w:p w:rsidR="00000000" w:rsidRDefault="000E646E">
      <w:pPr>
        <w:pStyle w:val="NormalWeb"/>
      </w:pPr>
      <w:r>
        <w:rPr>
          <w:rStyle w:val="Strong"/>
          <w:sz w:val="17"/>
          <w:szCs w:val="17"/>
        </w:rPr>
        <w:t>Capital Assets</w:t>
      </w:r>
      <w:r>
        <w:rPr>
          <w:sz w:val="17"/>
          <w:szCs w:val="17"/>
        </w:rPr>
        <w:br/>
        <w:t>The District will maintain a comprehensive capital assets record-keeping system. The goal of the capital assets program is to protect the District against losses t</w:t>
      </w:r>
      <w:r>
        <w:rPr>
          <w:sz w:val="17"/>
          <w:szCs w:val="17"/>
        </w:rPr>
        <w:t>hat would significantly affect the District’s students, staff, property, budget or the ability of the district to continue to fulfill its stewardship responsibilities.</w:t>
      </w:r>
    </w:p>
    <w:p w:rsidR="00000000" w:rsidRDefault="000E646E">
      <w:pPr>
        <w:pStyle w:val="NormalWeb"/>
      </w:pPr>
      <w:r>
        <w:br/>
      </w:r>
      <w:r>
        <w:rPr>
          <w:sz w:val="17"/>
          <w:szCs w:val="17"/>
        </w:rPr>
        <w:t>For purpose of this policy, “capital assets” will mean land, improvements to land, ease</w:t>
      </w:r>
      <w:r>
        <w:rPr>
          <w:sz w:val="17"/>
          <w:szCs w:val="17"/>
        </w:rPr>
        <w:t>ments, building improvements, vehicles, machinery, equipment, works of art and historical treasures, infrastructure and all other tangible and intangible assets that are used in operations and that have initial useful lives extending beyond a single report</w:t>
      </w:r>
      <w:r>
        <w:rPr>
          <w:sz w:val="17"/>
          <w:szCs w:val="17"/>
        </w:rPr>
        <w:t>ing period which:</w:t>
      </w:r>
      <w:r>
        <w:br/>
        <w:t> </w:t>
      </w:r>
    </w:p>
    <w:p w:rsidR="00000000" w:rsidRDefault="000E646E">
      <w:pPr>
        <w:numPr>
          <w:ilvl w:val="0"/>
          <w:numId w:val="1"/>
        </w:numPr>
      </w:pPr>
      <w:r>
        <w:rPr>
          <w:sz w:val="17"/>
          <w:szCs w:val="17"/>
        </w:rPr>
        <w:t>Retains its shape and appearance with use;</w:t>
      </w:r>
      <w:r>
        <w:br/>
        <w:t> </w:t>
      </w:r>
    </w:p>
    <w:p w:rsidR="00000000" w:rsidRDefault="000E646E">
      <w:pPr>
        <w:numPr>
          <w:ilvl w:val="0"/>
          <w:numId w:val="1"/>
        </w:numPr>
      </w:pPr>
      <w:r>
        <w:rPr>
          <w:sz w:val="17"/>
          <w:szCs w:val="17"/>
        </w:rPr>
        <w:t xml:space="preserve">Is nonexpendable, meaning if the item is damaged or some of its parts are lost or worn out, it may be more feasible to repair it than to replace it with an entirely new </w:t>
      </w:r>
      <w:proofErr w:type="gramStart"/>
      <w:r>
        <w:rPr>
          <w:sz w:val="17"/>
          <w:szCs w:val="17"/>
        </w:rPr>
        <w:t>item.</w:t>
      </w:r>
      <w:proofErr w:type="gramEnd"/>
      <w:r>
        <w:br/>
        <w:t> </w:t>
      </w:r>
    </w:p>
    <w:p w:rsidR="00000000" w:rsidRDefault="000E646E">
      <w:pPr>
        <w:numPr>
          <w:ilvl w:val="0"/>
          <w:numId w:val="1"/>
        </w:numPr>
      </w:pPr>
      <w:r>
        <w:rPr>
          <w:sz w:val="17"/>
          <w:szCs w:val="17"/>
        </w:rPr>
        <w:t>It does not lo</w:t>
      </w:r>
      <w:r>
        <w:rPr>
          <w:sz w:val="17"/>
          <w:szCs w:val="17"/>
        </w:rPr>
        <w:t>se its identity when incorporated into a more complex unit;</w:t>
      </w:r>
      <w:r>
        <w:br/>
        <w:t> </w:t>
      </w:r>
    </w:p>
    <w:p w:rsidR="00000000" w:rsidRDefault="000E646E">
      <w:pPr>
        <w:numPr>
          <w:ilvl w:val="0"/>
          <w:numId w:val="1"/>
        </w:numPr>
      </w:pPr>
      <w:r>
        <w:rPr>
          <w:sz w:val="17"/>
          <w:szCs w:val="17"/>
        </w:rPr>
        <w:t>Is valued no less than $5,000 unless a lesser amount is set by the district; and</w:t>
      </w:r>
      <w:r>
        <w:br/>
        <w:t> </w:t>
      </w:r>
    </w:p>
    <w:p w:rsidR="00000000" w:rsidRDefault="000E646E">
      <w:pPr>
        <w:numPr>
          <w:ilvl w:val="0"/>
          <w:numId w:val="1"/>
        </w:numPr>
      </w:pPr>
      <w:r>
        <w:rPr>
          <w:sz w:val="17"/>
          <w:szCs w:val="17"/>
        </w:rPr>
        <w:t>Has a life expectancy of at least one year.</w:t>
      </w:r>
    </w:p>
    <w:p w:rsidR="00000000" w:rsidRDefault="000E646E">
      <w:pPr>
        <w:pStyle w:val="NormalWeb"/>
      </w:pPr>
      <w:r>
        <w:t> </w:t>
      </w:r>
    </w:p>
    <w:p w:rsidR="00000000" w:rsidRDefault="000E646E">
      <w:pPr>
        <w:pStyle w:val="NormalWeb"/>
      </w:pPr>
      <w:r>
        <w:rPr>
          <w:sz w:val="17"/>
          <w:szCs w:val="17"/>
        </w:rPr>
        <w:t>Federal law requires a physical inventory of federally-funded ass</w:t>
      </w:r>
      <w:r>
        <w:rPr>
          <w:sz w:val="17"/>
          <w:szCs w:val="17"/>
        </w:rPr>
        <w:t>ets at least once every two years. Reconciled inventory reports will be provided to the board. Such report will identify lost, damaged or stolen capital assets.  Missing capital assets will be removed from district property records by a vote of the board.</w:t>
      </w:r>
    </w:p>
    <w:p w:rsidR="00000000" w:rsidRDefault="000E646E">
      <w:pPr>
        <w:pStyle w:val="NormalWeb"/>
      </w:pPr>
      <w:r>
        <w:br/>
      </w:r>
      <w:r>
        <w:rPr>
          <w:sz w:val="17"/>
          <w:szCs w:val="17"/>
        </w:rPr>
        <w:t>No equipment will be removed for personal or non-school use.</w:t>
      </w:r>
    </w:p>
    <w:p w:rsidR="00000000" w:rsidRDefault="000E646E">
      <w:pPr>
        <w:pStyle w:val="NormalWeb"/>
      </w:pPr>
      <w:r>
        <w:br/>
      </w:r>
      <w:r>
        <w:rPr>
          <w:rStyle w:val="Strong"/>
          <w:sz w:val="17"/>
          <w:szCs w:val="17"/>
        </w:rPr>
        <w:t>Theft-Sensitive Assets</w:t>
      </w:r>
      <w:r>
        <w:rPr>
          <w:sz w:val="17"/>
          <w:szCs w:val="17"/>
        </w:rPr>
        <w:br/>
        <w:t>For purposes of this policy, “theft-sensitive” are those items identified by the District as most subject to loss. A list of theft-sensitive assets shall be maintained by</w:t>
      </w:r>
      <w:r>
        <w:rPr>
          <w:sz w:val="17"/>
          <w:szCs w:val="17"/>
        </w:rPr>
        <w:t xml:space="preserve"> the District. The District should establish procedures for internal controls and conduct an annual inventory of theft-sensitive assets.</w:t>
      </w:r>
    </w:p>
    <w:p w:rsidR="00000000" w:rsidRDefault="000E646E">
      <w:pPr>
        <w:pStyle w:val="NormalWeb"/>
      </w:pPr>
      <w:r>
        <w:br/>
      </w:r>
      <w:r>
        <w:rPr>
          <w:sz w:val="17"/>
          <w:szCs w:val="17"/>
        </w:rPr>
        <w:t>The board will be provided a report identifying assets not accounted for in the annual inventory. These assets will be</w:t>
      </w:r>
      <w:r>
        <w:rPr>
          <w:sz w:val="17"/>
          <w:szCs w:val="17"/>
        </w:rPr>
        <w:t xml:space="preserve"> removed from the District property records through school board action annually.</w:t>
      </w:r>
    </w:p>
    <w:p w:rsidR="00000000" w:rsidRDefault="000E646E">
      <w:pPr>
        <w:pStyle w:val="NormalWeb"/>
      </w:pPr>
      <w:r>
        <w:br/>
      </w:r>
      <w:r>
        <w:rPr>
          <w:sz w:val="17"/>
          <w:szCs w:val="17"/>
        </w:rPr>
        <w:t>The superintendent will develop procedures to implement this policy, including maintenance requirements and sales procedures to ensure the highest possible return. </w:t>
      </w:r>
      <w:r>
        <w:br/>
        <w:t> </w:t>
      </w:r>
    </w:p>
    <w:p w:rsidR="00000000" w:rsidRDefault="000E646E">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023"/>
      </w:tblGrid>
      <w:tr w:rsidR="00000000">
        <w:trPr>
          <w:tblCellSpacing w:w="15" w:type="dxa"/>
        </w:trPr>
        <w:tc>
          <w:tcPr>
            <w:tcW w:w="3000" w:type="dxa"/>
            <w:vAlign w:val="center"/>
            <w:hideMark/>
          </w:tcPr>
          <w:p w:rsidR="00000000" w:rsidRDefault="000E646E">
            <w:r>
              <w:t>Cro</w:t>
            </w:r>
            <w:r>
              <w:t xml:space="preserve">ss References: </w:t>
            </w:r>
          </w:p>
        </w:tc>
        <w:tc>
          <w:tcPr>
            <w:tcW w:w="0" w:type="auto"/>
            <w:vAlign w:val="center"/>
            <w:hideMark/>
          </w:tcPr>
          <w:p w:rsidR="00000000" w:rsidRDefault="000E646E">
            <w:r>
              <w:t xml:space="preserve">6570 - Property and Data Management </w:t>
            </w:r>
          </w:p>
        </w:tc>
      </w:tr>
      <w:tr w:rsidR="00000000">
        <w:trPr>
          <w:tblCellSpacing w:w="15" w:type="dxa"/>
        </w:trPr>
        <w:tc>
          <w:tcPr>
            <w:tcW w:w="3000" w:type="dxa"/>
            <w:vAlign w:val="center"/>
            <w:hideMark/>
          </w:tcPr>
          <w:p w:rsidR="00000000" w:rsidRDefault="000E646E"/>
        </w:tc>
        <w:tc>
          <w:tcPr>
            <w:tcW w:w="0" w:type="auto"/>
            <w:vAlign w:val="center"/>
            <w:hideMark/>
          </w:tcPr>
          <w:p w:rsidR="00000000" w:rsidRDefault="000E646E">
            <w:pPr>
              <w:rPr>
                <w:rFonts w:ascii="Times New Roman" w:eastAsia="Times New Roman" w:hAnsi="Times New Roman"/>
                <w:szCs w:val="20"/>
              </w:rPr>
            </w:pPr>
          </w:p>
        </w:tc>
      </w:tr>
    </w:tbl>
    <w:p w:rsidR="00000000" w:rsidRDefault="000E646E">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000000">
        <w:trPr>
          <w:tblCellSpacing w:w="15" w:type="dxa"/>
        </w:trPr>
        <w:tc>
          <w:tcPr>
            <w:tcW w:w="3000" w:type="dxa"/>
            <w:vAlign w:val="center"/>
            <w:hideMark/>
          </w:tcPr>
          <w:p w:rsidR="00000000" w:rsidRDefault="000E646E">
            <w:r>
              <w:t xml:space="preserve">Legal References: </w:t>
            </w:r>
          </w:p>
        </w:tc>
        <w:tc>
          <w:tcPr>
            <w:tcW w:w="0" w:type="auto"/>
            <w:vAlign w:val="center"/>
            <w:hideMark/>
          </w:tcPr>
          <w:p w:rsidR="00000000" w:rsidRDefault="000E646E">
            <w:r>
              <w:t xml:space="preserve">RCW 28A.335.090 Conveyance and acquisition of property — Management — Appraisal </w:t>
            </w:r>
          </w:p>
        </w:tc>
      </w:tr>
      <w:tr w:rsidR="00000000">
        <w:trPr>
          <w:tblCellSpacing w:w="15" w:type="dxa"/>
        </w:trPr>
        <w:tc>
          <w:tcPr>
            <w:tcW w:w="3000" w:type="dxa"/>
            <w:vAlign w:val="center"/>
            <w:hideMark/>
          </w:tcPr>
          <w:p w:rsidR="00000000" w:rsidRDefault="000E646E"/>
        </w:tc>
        <w:tc>
          <w:tcPr>
            <w:tcW w:w="0" w:type="auto"/>
            <w:vAlign w:val="center"/>
            <w:hideMark/>
          </w:tcPr>
          <w:p w:rsidR="00000000" w:rsidRDefault="000E646E">
            <w:r>
              <w:t xml:space="preserve">7 CFR 3015, 3016 Agriculture </w:t>
            </w:r>
          </w:p>
        </w:tc>
      </w:tr>
      <w:tr w:rsidR="00000000">
        <w:trPr>
          <w:tblCellSpacing w:w="15" w:type="dxa"/>
        </w:trPr>
        <w:tc>
          <w:tcPr>
            <w:tcW w:w="3000" w:type="dxa"/>
            <w:vAlign w:val="center"/>
            <w:hideMark/>
          </w:tcPr>
          <w:p w:rsidR="00000000" w:rsidRDefault="000E646E"/>
        </w:tc>
        <w:tc>
          <w:tcPr>
            <w:tcW w:w="0" w:type="auto"/>
            <w:vAlign w:val="center"/>
            <w:hideMark/>
          </w:tcPr>
          <w:p w:rsidR="00000000" w:rsidRDefault="000E646E">
            <w:r>
              <w:t xml:space="preserve">34 CFR 80.32 </w:t>
            </w:r>
            <w:r>
              <w:t xml:space="preserve">Uniform Administrative requirements for grants and cooperative agreements to state and local governments – Equipment </w:t>
            </w:r>
          </w:p>
        </w:tc>
      </w:tr>
      <w:tr w:rsidR="00000000">
        <w:trPr>
          <w:tblCellSpacing w:w="15" w:type="dxa"/>
        </w:trPr>
        <w:tc>
          <w:tcPr>
            <w:tcW w:w="3000" w:type="dxa"/>
            <w:vAlign w:val="center"/>
            <w:hideMark/>
          </w:tcPr>
          <w:p w:rsidR="00000000" w:rsidRDefault="000E646E"/>
        </w:tc>
        <w:tc>
          <w:tcPr>
            <w:tcW w:w="0" w:type="auto"/>
            <w:vAlign w:val="center"/>
            <w:hideMark/>
          </w:tcPr>
          <w:p w:rsidR="00000000" w:rsidRDefault="000E646E">
            <w:r>
              <w:t xml:space="preserve">45 CFR 92.32 Health and Human Services </w:t>
            </w:r>
          </w:p>
        </w:tc>
      </w:tr>
      <w:tr w:rsidR="00000000">
        <w:trPr>
          <w:tblCellSpacing w:w="15" w:type="dxa"/>
        </w:trPr>
        <w:tc>
          <w:tcPr>
            <w:tcW w:w="3000" w:type="dxa"/>
            <w:vAlign w:val="center"/>
            <w:hideMark/>
          </w:tcPr>
          <w:p w:rsidR="00000000" w:rsidRDefault="000E646E"/>
        </w:tc>
        <w:tc>
          <w:tcPr>
            <w:tcW w:w="0" w:type="auto"/>
            <w:vAlign w:val="center"/>
            <w:hideMark/>
          </w:tcPr>
          <w:p w:rsidR="00000000" w:rsidRDefault="000E646E">
            <w:r>
              <w:t>Office of Management and Budget (OMB) Circular A-87, Cost Principles for State, Local, and Ind</w:t>
            </w:r>
            <w:r>
              <w:t xml:space="preserve">ian Tribal Governments, Attachment B(19) </w:t>
            </w:r>
          </w:p>
        </w:tc>
      </w:tr>
      <w:tr w:rsidR="00000000">
        <w:trPr>
          <w:tblCellSpacing w:w="15" w:type="dxa"/>
        </w:trPr>
        <w:tc>
          <w:tcPr>
            <w:tcW w:w="3000" w:type="dxa"/>
            <w:vAlign w:val="center"/>
            <w:hideMark/>
          </w:tcPr>
          <w:p w:rsidR="00000000" w:rsidRDefault="000E646E"/>
        </w:tc>
        <w:tc>
          <w:tcPr>
            <w:tcW w:w="0" w:type="auto"/>
            <w:vAlign w:val="center"/>
            <w:hideMark/>
          </w:tcPr>
          <w:p w:rsidR="00000000" w:rsidRDefault="000E646E">
            <w:pPr>
              <w:rPr>
                <w:rFonts w:ascii="Times New Roman" w:eastAsia="Times New Roman" w:hAnsi="Times New Roman"/>
                <w:szCs w:val="20"/>
              </w:rPr>
            </w:pPr>
          </w:p>
        </w:tc>
      </w:tr>
    </w:tbl>
    <w:p w:rsidR="00000000" w:rsidRDefault="000E646E">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000000">
        <w:trPr>
          <w:tblCellSpacing w:w="15" w:type="dxa"/>
        </w:trPr>
        <w:tc>
          <w:tcPr>
            <w:tcW w:w="3000" w:type="dxa"/>
            <w:vAlign w:val="center"/>
            <w:hideMark/>
          </w:tcPr>
          <w:p w:rsidR="00000000" w:rsidRDefault="000E646E">
            <w:r>
              <w:t xml:space="preserve">Management Resources: </w:t>
            </w:r>
          </w:p>
        </w:tc>
        <w:tc>
          <w:tcPr>
            <w:tcW w:w="0" w:type="auto"/>
            <w:vAlign w:val="center"/>
            <w:hideMark/>
          </w:tcPr>
          <w:p w:rsidR="00000000" w:rsidRDefault="000E646E">
            <w:r>
              <w:t xml:space="preserve">2012 - June Issue </w:t>
            </w:r>
          </w:p>
        </w:tc>
      </w:tr>
      <w:tr w:rsidR="00000000">
        <w:trPr>
          <w:tblCellSpacing w:w="15" w:type="dxa"/>
        </w:trPr>
        <w:tc>
          <w:tcPr>
            <w:tcW w:w="3000" w:type="dxa"/>
            <w:vAlign w:val="center"/>
            <w:hideMark/>
          </w:tcPr>
          <w:p w:rsidR="00000000" w:rsidRDefault="000E646E"/>
        </w:tc>
        <w:tc>
          <w:tcPr>
            <w:tcW w:w="0" w:type="auto"/>
            <w:vAlign w:val="center"/>
            <w:hideMark/>
          </w:tcPr>
          <w:p w:rsidR="00000000" w:rsidRDefault="000E646E">
            <w:r>
              <w:t xml:space="preserve">Policy News, June 2008, Capital Assets/Theft-Sensitive Assets </w:t>
            </w:r>
          </w:p>
        </w:tc>
      </w:tr>
      <w:tr w:rsidR="00000000">
        <w:trPr>
          <w:tblCellSpacing w:w="15" w:type="dxa"/>
        </w:trPr>
        <w:tc>
          <w:tcPr>
            <w:tcW w:w="3000" w:type="dxa"/>
            <w:vAlign w:val="center"/>
            <w:hideMark/>
          </w:tcPr>
          <w:p w:rsidR="00000000" w:rsidRDefault="000E646E"/>
        </w:tc>
        <w:tc>
          <w:tcPr>
            <w:tcW w:w="0" w:type="auto"/>
            <w:vAlign w:val="center"/>
            <w:hideMark/>
          </w:tcPr>
          <w:p w:rsidR="00000000" w:rsidRDefault="000E646E">
            <w:r>
              <w:t xml:space="preserve">Policy News, April 2006, Fixed Assets </w:t>
            </w:r>
          </w:p>
        </w:tc>
      </w:tr>
      <w:tr w:rsidR="00000000">
        <w:trPr>
          <w:tblCellSpacing w:w="15" w:type="dxa"/>
        </w:trPr>
        <w:tc>
          <w:tcPr>
            <w:tcW w:w="3000" w:type="dxa"/>
            <w:vAlign w:val="center"/>
            <w:hideMark/>
          </w:tcPr>
          <w:p w:rsidR="00000000" w:rsidRDefault="000E646E"/>
        </w:tc>
        <w:tc>
          <w:tcPr>
            <w:tcW w:w="0" w:type="auto"/>
            <w:vAlign w:val="center"/>
            <w:hideMark/>
          </w:tcPr>
          <w:p w:rsidR="00000000" w:rsidRDefault="000E646E">
            <w:pPr>
              <w:rPr>
                <w:rFonts w:ascii="Times New Roman" w:eastAsia="Times New Roman" w:hAnsi="Times New Roman"/>
                <w:szCs w:val="20"/>
              </w:rPr>
            </w:pPr>
          </w:p>
        </w:tc>
      </w:tr>
    </w:tbl>
    <w:p w:rsidR="00000000" w:rsidRDefault="000E646E">
      <w:pPr>
        <w:spacing w:after="240"/>
        <w:rPr>
          <w:rFonts w:ascii="Times New Roman" w:eastAsia="Times New Roman" w:hAnsi="Times New Roman"/>
          <w:sz w:val="24"/>
          <w:szCs w:val="24"/>
        </w:rPr>
      </w:pPr>
    </w:p>
    <w:p w:rsidR="00000000" w:rsidRDefault="000E646E">
      <w:pPr>
        <w:pStyle w:val="NormalWeb"/>
      </w:pPr>
      <w:r>
        <w:t xml:space="preserve">Adoption Date: </w:t>
      </w:r>
      <w:r w:rsidR="00796819">
        <w:t>August 24, 2009</w:t>
      </w:r>
      <w:bookmarkStart w:id="0" w:name="_GoBack"/>
      <w:bookmarkEnd w:id="0"/>
      <w:r>
        <w:br/>
        <w:t xml:space="preserve">Classification: </w:t>
      </w:r>
      <w:r>
        <w:rPr>
          <w:b/>
          <w:bCs/>
        </w:rPr>
        <w:t>Essential</w:t>
      </w:r>
      <w:r>
        <w:br/>
      </w:r>
      <w:r>
        <w:t xml:space="preserve">Revised Dates: </w:t>
      </w:r>
      <w:r>
        <w:rPr>
          <w:b/>
          <w:bCs/>
        </w:rPr>
        <w:t>04.06; 06.08; 12.11; 06.12</w:t>
      </w:r>
    </w:p>
    <w:p w:rsidR="00000000" w:rsidRDefault="000E646E">
      <w:pPr>
        <w:rPr>
          <w:rFonts w:ascii="Times New Roman" w:eastAsia="Times New Roman" w:hAnsi="Times New Roman"/>
          <w:sz w:val="24"/>
          <w:szCs w:val="24"/>
        </w:rPr>
      </w:pPr>
    </w:p>
    <w:p w:rsidR="00000000" w:rsidRDefault="000E646E">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0E646E" w:rsidRDefault="000E646E">
      <w:pPr>
        <w:pStyle w:val="NormalWeb"/>
        <w:rPr>
          <w:color w:val="999999"/>
        </w:rPr>
      </w:pPr>
      <w:r>
        <w:rPr>
          <w:color w:val="999999"/>
        </w:rPr>
        <w:t>© 2014-2018 Washington State School Directors' Association. All rights reserved.</w:t>
      </w:r>
    </w:p>
    <w:sectPr w:rsidR="000E6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D70D17"/>
    <w:multiLevelType w:val="multilevel"/>
    <w:tmpl w:val="C2DE72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96819"/>
    <w:rsid w:val="000E646E"/>
    <w:rsid w:val="0079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C12B1C-D2C3-41E8-894A-0E11D739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Dingman</dc:creator>
  <cp:keywords/>
  <dc:description/>
  <cp:lastModifiedBy>Jake Dingman</cp:lastModifiedBy>
  <cp:revision>2</cp:revision>
  <dcterms:created xsi:type="dcterms:W3CDTF">2018-09-27T20:27:00Z</dcterms:created>
  <dcterms:modified xsi:type="dcterms:W3CDTF">2018-09-27T20:27:00Z</dcterms:modified>
</cp:coreProperties>
</file>