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7286C">
      <w:pPr>
        <w:jc w:val="right"/>
      </w:pPr>
      <w:r>
        <w:rPr>
          <w:b/>
          <w:bCs/>
        </w:rPr>
        <w:t>Policy: 2020</w:t>
      </w:r>
      <w:r>
        <w:rPr>
          <w:b/>
          <w:bCs/>
        </w:rPr>
        <w:br/>
        <w:t>Section: 2000 - Instruction</w:t>
      </w:r>
    </w:p>
    <w:p w:rsidR="00000000" w:rsidRDefault="00D7286C">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D7286C">
      <w:pPr>
        <w:rPr>
          <w:rFonts w:ascii="Times New Roman" w:eastAsia="Times New Roman" w:hAnsi="Times New Roman"/>
          <w:sz w:val="24"/>
          <w:szCs w:val="24"/>
        </w:rPr>
      </w:pPr>
    </w:p>
    <w:p w:rsidR="00000000" w:rsidRDefault="00D7286C">
      <w:pPr>
        <w:pStyle w:val="NormalWeb"/>
        <w:rPr>
          <w:sz w:val="32"/>
          <w:szCs w:val="32"/>
        </w:rPr>
      </w:pPr>
      <w:r>
        <w:rPr>
          <w:b/>
          <w:bCs/>
          <w:sz w:val="32"/>
          <w:szCs w:val="32"/>
        </w:rPr>
        <w:t>Course Design, Selection and Adoption of Instructional Materials</w:t>
      </w:r>
    </w:p>
    <w:p w:rsidR="00000000" w:rsidRDefault="00D7286C">
      <w:pPr>
        <w:rPr>
          <w:rFonts w:ascii="Times New Roman" w:eastAsia="Times New Roman" w:hAnsi="Times New Roman"/>
          <w:sz w:val="24"/>
          <w:szCs w:val="24"/>
        </w:rPr>
      </w:pPr>
    </w:p>
    <w:p w:rsidR="00000000" w:rsidRDefault="00D7286C">
      <w:pPr>
        <w:pStyle w:val="NormalWeb"/>
      </w:pPr>
      <w:r>
        <w:rPr>
          <w:sz w:val="17"/>
          <w:szCs w:val="17"/>
        </w:rPr>
        <w:t>The board recognizes its responsibility for the improvement and growth of the educational program of the schools. To this end, the course designs shall</w:t>
      </w:r>
      <w:r>
        <w:rPr>
          <w:sz w:val="17"/>
          <w:szCs w:val="17"/>
        </w:rPr>
        <w:t xml:space="preserve"> be evaluated, adapted and developed on a continuing basis.  Instructional materials shall be selected to ensure alignment with state learning standards and enable all students to master foundational skills and knowledge to achieve college and career readi</w:t>
      </w:r>
      <w:r>
        <w:rPr>
          <w:sz w:val="17"/>
          <w:szCs w:val="17"/>
        </w:rPr>
        <w:t>ness.</w:t>
      </w:r>
    </w:p>
    <w:p w:rsidR="00000000" w:rsidRDefault="00D7286C">
      <w:pPr>
        <w:pStyle w:val="NormalWeb"/>
      </w:pPr>
      <w:r>
        <w:t> </w:t>
      </w:r>
    </w:p>
    <w:p w:rsidR="00000000" w:rsidRDefault="00D7286C">
      <w:pPr>
        <w:pStyle w:val="NormalWeb"/>
      </w:pPr>
      <w:r>
        <w:rPr>
          <w:rStyle w:val="Strong"/>
          <w:sz w:val="17"/>
          <w:szCs w:val="17"/>
        </w:rPr>
        <w:t>Definitions</w:t>
      </w:r>
    </w:p>
    <w:p w:rsidR="00000000" w:rsidRDefault="00D7286C">
      <w:pPr>
        <w:pStyle w:val="NormalWeb"/>
      </w:pPr>
      <w:r>
        <w:rPr>
          <w:sz w:val="17"/>
          <w:szCs w:val="17"/>
        </w:rPr>
        <w:t>For the purpose of policy and procedure 2020, the following definitions will apply:</w:t>
      </w:r>
    </w:p>
    <w:p w:rsidR="00000000" w:rsidRDefault="00D7286C">
      <w:pPr>
        <w:pStyle w:val="NormalWeb"/>
      </w:pPr>
      <w:r>
        <w:t> </w:t>
      </w:r>
    </w:p>
    <w:p w:rsidR="00000000" w:rsidRDefault="00D7286C">
      <w:pPr>
        <w:pStyle w:val="NormalWeb"/>
      </w:pPr>
      <w:r>
        <w:rPr>
          <w:rStyle w:val="Strong"/>
          <w:sz w:val="17"/>
          <w:szCs w:val="17"/>
        </w:rPr>
        <w:t>Course Design</w:t>
      </w:r>
      <w:r>
        <w:rPr>
          <w:sz w:val="17"/>
          <w:szCs w:val="17"/>
        </w:rPr>
        <w:t xml:space="preserve"> is the process that includes identifying and sequencing essential content supporting students’ skill development towards state learning </w:t>
      </w:r>
      <w:r>
        <w:rPr>
          <w:sz w:val="17"/>
          <w:szCs w:val="17"/>
        </w:rPr>
        <w:t>standards. Course design involves providing appropriate instructional materials, professional development, and support systems for teachers as they implement the course.</w:t>
      </w:r>
    </w:p>
    <w:p w:rsidR="00000000" w:rsidRDefault="00D7286C">
      <w:pPr>
        <w:pStyle w:val="NormalWeb"/>
      </w:pPr>
      <w:r>
        <w:t> </w:t>
      </w:r>
    </w:p>
    <w:p w:rsidR="00000000" w:rsidRDefault="00D7286C">
      <w:pPr>
        <w:pStyle w:val="NormalWeb"/>
      </w:pPr>
      <w:r>
        <w:rPr>
          <w:rStyle w:val="Strong"/>
          <w:sz w:val="17"/>
          <w:szCs w:val="17"/>
        </w:rPr>
        <w:t>Instructional Materials</w:t>
      </w:r>
      <w:r>
        <w:rPr>
          <w:sz w:val="17"/>
          <w:szCs w:val="17"/>
        </w:rPr>
        <w:t xml:space="preserve"> are all materials designed for use by students and their tea</w:t>
      </w:r>
      <w:r>
        <w:rPr>
          <w:sz w:val="17"/>
          <w:szCs w:val="17"/>
        </w:rPr>
        <w:t>chers as learning resources to help students to acquire facts, skills, and/or to develop cognitive processes. These instructional materials, used to help students meet state learning standards, may be printed or digital, and may include textbooks, technolo</w:t>
      </w:r>
      <w:r>
        <w:rPr>
          <w:sz w:val="17"/>
          <w:szCs w:val="17"/>
        </w:rPr>
        <w:t>gy-based materials, other educational media, and assessments. They may carry different licensing types from open to all rights reserved. For the purposes of this policy, there are five categories of instructional materials:</w:t>
      </w:r>
    </w:p>
    <w:p w:rsidR="00000000" w:rsidRDefault="00D7286C">
      <w:pPr>
        <w:pStyle w:val="NormalWeb"/>
        <w:ind w:left="720"/>
      </w:pPr>
      <w:r>
        <w:t> </w:t>
      </w:r>
    </w:p>
    <w:p w:rsidR="00000000" w:rsidRDefault="00D7286C">
      <w:pPr>
        <w:pStyle w:val="NormalWeb"/>
        <w:ind w:left="720"/>
      </w:pPr>
      <w:r>
        <w:rPr>
          <w:rStyle w:val="Strong"/>
          <w:sz w:val="17"/>
          <w:szCs w:val="17"/>
        </w:rPr>
        <w:t>Core Instructional Materials</w:t>
      </w:r>
      <w:r>
        <w:rPr>
          <w:sz w:val="17"/>
          <w:szCs w:val="17"/>
        </w:rPr>
        <w:t xml:space="preserve"> a</w:t>
      </w:r>
      <w:r>
        <w:rPr>
          <w:sz w:val="17"/>
          <w:szCs w:val="17"/>
        </w:rPr>
        <w:t>re the primary instructional resources for a given course. They are district-approved and provided to all students to help meet learning standards and provide instruction towards course requirements.</w:t>
      </w:r>
    </w:p>
    <w:p w:rsidR="00000000" w:rsidRDefault="00D7286C">
      <w:pPr>
        <w:pStyle w:val="NormalWeb"/>
        <w:ind w:left="720"/>
      </w:pPr>
      <w:r>
        <w:t> </w:t>
      </w:r>
    </w:p>
    <w:p w:rsidR="00000000" w:rsidRDefault="00D7286C">
      <w:pPr>
        <w:pStyle w:val="NormalWeb"/>
        <w:ind w:left="720"/>
      </w:pPr>
      <w:r>
        <w:rPr>
          <w:rStyle w:val="Strong"/>
          <w:sz w:val="17"/>
          <w:szCs w:val="17"/>
        </w:rPr>
        <w:t xml:space="preserve">Alternative Core Materials </w:t>
      </w:r>
      <w:r>
        <w:rPr>
          <w:sz w:val="17"/>
          <w:szCs w:val="17"/>
        </w:rPr>
        <w:t>are the primary instruction</w:t>
      </w:r>
      <w:r>
        <w:rPr>
          <w:sz w:val="17"/>
          <w:szCs w:val="17"/>
        </w:rPr>
        <w:t>al materials for a given course that are used with a subset of students. These materials are intended to replace approved core materials and may be used for specialized course offerings or flexible learning environments.</w:t>
      </w:r>
    </w:p>
    <w:p w:rsidR="00000000" w:rsidRDefault="00D7286C">
      <w:pPr>
        <w:pStyle w:val="NormalWeb"/>
        <w:ind w:left="720"/>
      </w:pPr>
      <w:r>
        <w:t> </w:t>
      </w:r>
    </w:p>
    <w:p w:rsidR="00000000" w:rsidRDefault="00D7286C">
      <w:pPr>
        <w:pStyle w:val="NormalWeb"/>
        <w:ind w:left="720"/>
      </w:pPr>
      <w:r>
        <w:rPr>
          <w:rStyle w:val="Strong"/>
          <w:sz w:val="17"/>
          <w:szCs w:val="17"/>
        </w:rPr>
        <w:t xml:space="preserve">Intervention Materials </w:t>
      </w:r>
      <w:r>
        <w:rPr>
          <w:sz w:val="17"/>
          <w:szCs w:val="17"/>
        </w:rPr>
        <w:t>are design</w:t>
      </w:r>
      <w:r>
        <w:rPr>
          <w:sz w:val="17"/>
          <w:szCs w:val="17"/>
        </w:rPr>
        <w:t>ed to support strategic or intensive intervention for students who are at risk of not meeting established learning standards. Intervention materials are used with students to accelerate progress toward particular learning goals based on systematic assessme</w:t>
      </w:r>
      <w:r>
        <w:rPr>
          <w:sz w:val="17"/>
          <w:szCs w:val="17"/>
        </w:rPr>
        <w:t xml:space="preserve">nt, decision-making, and progress monitoring. </w:t>
      </w:r>
    </w:p>
    <w:p w:rsidR="00000000" w:rsidRDefault="00D7286C">
      <w:pPr>
        <w:pStyle w:val="NormalWeb"/>
        <w:ind w:left="720"/>
      </w:pPr>
      <w:r>
        <w:t> </w:t>
      </w:r>
    </w:p>
    <w:p w:rsidR="00000000" w:rsidRDefault="00D7286C">
      <w:pPr>
        <w:pStyle w:val="NormalWeb"/>
        <w:ind w:left="720"/>
      </w:pPr>
      <w:r>
        <w:rPr>
          <w:rStyle w:val="Strong"/>
          <w:sz w:val="17"/>
          <w:szCs w:val="17"/>
        </w:rPr>
        <w:t>Supplemental Materials</w:t>
      </w:r>
      <w:r>
        <w:rPr>
          <w:sz w:val="17"/>
          <w:szCs w:val="17"/>
        </w:rPr>
        <w:t xml:space="preserve"> are used in conjunction with the core instructional materials of a course. These items extend and support instruction. They include, but are not limited to, books, periodicals, visual </w:t>
      </w:r>
      <w:r>
        <w:rPr>
          <w:sz w:val="17"/>
          <w:szCs w:val="17"/>
        </w:rPr>
        <w:t>aids, video, sound recordings, computer software and other digital content.</w:t>
      </w:r>
    </w:p>
    <w:p w:rsidR="00000000" w:rsidRDefault="00D7286C">
      <w:pPr>
        <w:pStyle w:val="NormalWeb"/>
        <w:ind w:left="720"/>
      </w:pPr>
      <w:r>
        <w:t> </w:t>
      </w:r>
    </w:p>
    <w:p w:rsidR="00000000" w:rsidRDefault="00D7286C">
      <w:pPr>
        <w:pStyle w:val="NormalWeb"/>
        <w:ind w:left="720"/>
      </w:pPr>
      <w:r>
        <w:rPr>
          <w:rStyle w:val="Strong"/>
          <w:sz w:val="17"/>
          <w:szCs w:val="17"/>
        </w:rPr>
        <w:t xml:space="preserve">Temporary Supplemental Materials </w:t>
      </w:r>
      <w:r>
        <w:rPr>
          <w:sz w:val="17"/>
          <w:szCs w:val="17"/>
        </w:rPr>
        <w:t>are those items used in conjunction with the core instructional materials of a course that are of interest or value for a short period of time an</w:t>
      </w:r>
      <w:r>
        <w:rPr>
          <w:sz w:val="17"/>
          <w:szCs w:val="17"/>
        </w:rPr>
        <w:t>d are chosen within district-established guidelines. They are not intended to supplant the adopted curriculum nor be used on a regular instructional basis. Examples might include timely articles from relevant, reliable sources, websites, or news broadcasts</w:t>
      </w:r>
      <w:r>
        <w:rPr>
          <w:sz w:val="17"/>
          <w:szCs w:val="17"/>
        </w:rPr>
        <w:t xml:space="preserve">. The use of temporary supplemental materials for time periods of over one year requires consideration of the material as either part of the core instructional material for a course or supplemental material for the course depending on the nature and scope </w:t>
      </w:r>
      <w:r>
        <w:rPr>
          <w:sz w:val="17"/>
          <w:szCs w:val="17"/>
        </w:rPr>
        <w:t>of the material.</w:t>
      </w:r>
    </w:p>
    <w:p w:rsidR="00000000" w:rsidRDefault="00D7286C">
      <w:pPr>
        <w:pStyle w:val="NormalWeb"/>
      </w:pPr>
      <w:r>
        <w:t> </w:t>
      </w:r>
    </w:p>
    <w:p w:rsidR="00000000" w:rsidRDefault="00D7286C">
      <w:pPr>
        <w:pStyle w:val="NormalWeb"/>
      </w:pPr>
      <w:r>
        <w:rPr>
          <w:rStyle w:val="Strong"/>
          <w:sz w:val="17"/>
          <w:szCs w:val="17"/>
        </w:rPr>
        <w:t xml:space="preserve">Instructional Materials Committee </w:t>
      </w:r>
      <w:r>
        <w:rPr>
          <w:sz w:val="17"/>
          <w:szCs w:val="17"/>
        </w:rPr>
        <w:t>is the body that makes core instructional materials adoption recommendations to the School Board based on superintendent-established procedures.</w:t>
      </w:r>
    </w:p>
    <w:p w:rsidR="00000000" w:rsidRDefault="00D7286C">
      <w:pPr>
        <w:pStyle w:val="NormalWeb"/>
      </w:pPr>
      <w:r>
        <w:t> </w:t>
      </w:r>
    </w:p>
    <w:p w:rsidR="00000000" w:rsidRDefault="00D7286C">
      <w:pPr>
        <w:pStyle w:val="NormalWeb"/>
      </w:pPr>
      <w:r>
        <w:rPr>
          <w:rStyle w:val="Strong"/>
          <w:sz w:val="17"/>
          <w:szCs w:val="17"/>
        </w:rPr>
        <w:t>Course Design</w:t>
      </w:r>
    </w:p>
    <w:p w:rsidR="00000000" w:rsidRDefault="00D7286C">
      <w:pPr>
        <w:pStyle w:val="NormalWeb"/>
      </w:pPr>
      <w:r>
        <w:rPr>
          <w:sz w:val="17"/>
          <w:szCs w:val="17"/>
        </w:rPr>
        <w:t>The superintendent or designee will establ</w:t>
      </w:r>
      <w:r>
        <w:rPr>
          <w:sz w:val="17"/>
          <w:szCs w:val="17"/>
        </w:rPr>
        <w:t>ish procedures for course design that:</w:t>
      </w:r>
      <w:r>
        <w:br/>
        <w:t> </w:t>
      </w:r>
    </w:p>
    <w:p w:rsidR="00000000" w:rsidRDefault="00D7286C">
      <w:pPr>
        <w:numPr>
          <w:ilvl w:val="0"/>
          <w:numId w:val="1"/>
        </w:numPr>
      </w:pPr>
      <w:r>
        <w:rPr>
          <w:sz w:val="17"/>
          <w:szCs w:val="17"/>
        </w:rPr>
        <w:t>Provide for the regular review of selected content areas and implementation of any suggested changes.</w:t>
      </w:r>
    </w:p>
    <w:p w:rsidR="00000000" w:rsidRDefault="00D7286C">
      <w:pPr>
        <w:numPr>
          <w:ilvl w:val="0"/>
          <w:numId w:val="1"/>
        </w:numPr>
      </w:pPr>
      <w:r>
        <w:rPr>
          <w:sz w:val="17"/>
          <w:szCs w:val="17"/>
        </w:rPr>
        <w:t>Provide for involvement of community representatives and staff members at appropriate times.</w:t>
      </w:r>
    </w:p>
    <w:p w:rsidR="00000000" w:rsidRDefault="00D7286C">
      <w:pPr>
        <w:pStyle w:val="NormalWeb"/>
      </w:pPr>
      <w:r>
        <w:t> </w:t>
      </w:r>
    </w:p>
    <w:p w:rsidR="00000000" w:rsidRDefault="00D7286C">
      <w:pPr>
        <w:pStyle w:val="NormalWeb"/>
      </w:pPr>
      <w:r>
        <w:rPr>
          <w:rStyle w:val="Strong"/>
          <w:sz w:val="17"/>
          <w:szCs w:val="17"/>
        </w:rPr>
        <w:t>Selection and Adoption of Instructional Materials</w:t>
      </w:r>
    </w:p>
    <w:p w:rsidR="00000000" w:rsidRDefault="00D7286C">
      <w:pPr>
        <w:pStyle w:val="NormalWeb"/>
      </w:pPr>
      <w:r>
        <w:rPr>
          <w:sz w:val="17"/>
          <w:szCs w:val="17"/>
        </w:rPr>
        <w:t>The primary objective in selecting instructional materials is to implement, enrich and support the educational program of the schools. All instructional materials will be selected in conformance with:</w:t>
      </w:r>
      <w:r>
        <w:br/>
        <w:t> </w:t>
      </w:r>
    </w:p>
    <w:p w:rsidR="00000000" w:rsidRDefault="00D7286C">
      <w:pPr>
        <w:numPr>
          <w:ilvl w:val="0"/>
          <w:numId w:val="2"/>
        </w:numPr>
      </w:pPr>
      <w:r>
        <w:rPr>
          <w:sz w:val="17"/>
          <w:szCs w:val="17"/>
        </w:rPr>
        <w:t>App</w:t>
      </w:r>
      <w:r>
        <w:rPr>
          <w:sz w:val="17"/>
          <w:szCs w:val="17"/>
        </w:rPr>
        <w:t>licable state and federal laws;</w:t>
      </w:r>
      <w:r>
        <w:br/>
        <w:t> </w:t>
      </w:r>
    </w:p>
    <w:p w:rsidR="00000000" w:rsidRDefault="00D7286C">
      <w:pPr>
        <w:numPr>
          <w:ilvl w:val="0"/>
          <w:numId w:val="2"/>
        </w:numPr>
      </w:pPr>
      <w:r>
        <w:rPr>
          <w:sz w:val="17"/>
          <w:szCs w:val="17"/>
        </w:rPr>
        <w:t>Goals and/or learning standards of the district and state; and</w:t>
      </w:r>
      <w:r>
        <w:br/>
        <w:t> </w:t>
      </w:r>
    </w:p>
    <w:p w:rsidR="00000000" w:rsidRDefault="00D7286C">
      <w:pPr>
        <w:numPr>
          <w:ilvl w:val="0"/>
          <w:numId w:val="2"/>
        </w:numPr>
      </w:pPr>
      <w:r>
        <w:rPr>
          <w:sz w:val="17"/>
          <w:szCs w:val="17"/>
        </w:rPr>
        <w:t>Procedures established by the instructional materials committee which address the criteria detailed in the corresponding procedure 2020P.</w:t>
      </w:r>
    </w:p>
    <w:p w:rsidR="00000000" w:rsidRDefault="00D7286C">
      <w:pPr>
        <w:pStyle w:val="NormalWeb"/>
      </w:pPr>
      <w:r>
        <w:t> </w:t>
      </w:r>
    </w:p>
    <w:p w:rsidR="00000000" w:rsidRDefault="00D7286C">
      <w:pPr>
        <w:pStyle w:val="NormalWeb"/>
      </w:pPr>
      <w:r>
        <w:rPr>
          <w:sz w:val="17"/>
          <w:szCs w:val="17"/>
        </w:rPr>
        <w:t>The board is resp</w:t>
      </w:r>
      <w:r>
        <w:rPr>
          <w:sz w:val="17"/>
          <w:szCs w:val="17"/>
        </w:rPr>
        <w:t>onsible for the adoption of all core materials used in the district.</w:t>
      </w:r>
    </w:p>
    <w:p w:rsidR="00000000" w:rsidRDefault="00D7286C">
      <w:pPr>
        <w:pStyle w:val="NormalWeb"/>
      </w:pPr>
      <w:r>
        <w:t> </w:t>
      </w:r>
    </w:p>
    <w:p w:rsidR="00000000" w:rsidRDefault="00D7286C">
      <w:pPr>
        <w:pStyle w:val="NormalWeb"/>
      </w:pPr>
      <w:r>
        <w:rPr>
          <w:sz w:val="17"/>
          <w:szCs w:val="17"/>
        </w:rPr>
        <w:t>The superintendent, or designee, will establish procedures for core material, alternate core, and intervention material selection and adoption using criteria around evidence-based pract</w:t>
      </w:r>
      <w:r>
        <w:rPr>
          <w:sz w:val="17"/>
          <w:szCs w:val="17"/>
        </w:rPr>
        <w:t>ices.</w:t>
      </w:r>
    </w:p>
    <w:p w:rsidR="00000000" w:rsidRDefault="00D7286C">
      <w:pPr>
        <w:pStyle w:val="NormalWeb"/>
      </w:pPr>
      <w:r>
        <w:t> </w:t>
      </w:r>
    </w:p>
    <w:p w:rsidR="00000000" w:rsidRDefault="00D7286C">
      <w:pPr>
        <w:pStyle w:val="NormalWeb"/>
      </w:pPr>
      <w:r>
        <w:rPr>
          <w:sz w:val="17"/>
          <w:szCs w:val="17"/>
        </w:rPr>
        <w:t>The superintendent will ensure that a listing of all core instructional materials used within the school curriculum is maintained in the district and is available for public review either in-person or online.</w:t>
      </w:r>
    </w:p>
    <w:p w:rsidR="00000000" w:rsidRDefault="00D7286C">
      <w:pPr>
        <w:pStyle w:val="NormalWeb"/>
      </w:pPr>
      <w:r>
        <w:t> </w:t>
      </w:r>
    </w:p>
    <w:p w:rsidR="00000000" w:rsidRDefault="00D7286C" w:rsidP="009E7328">
      <w:pPr>
        <w:pStyle w:val="NormalWeb"/>
        <w:rPr>
          <w:rFonts w:ascii="Times New Roman" w:eastAsia="Times New Roman" w:hAnsi="Times New Roman"/>
          <w:sz w:val="24"/>
          <w:szCs w:val="24"/>
        </w:rPr>
      </w:pPr>
      <w:r>
        <w:rPr>
          <w:sz w:val="17"/>
          <w:szCs w:val="17"/>
        </w:rPr>
        <w:t>The intent of the board is that the s</w:t>
      </w:r>
      <w:r>
        <w:rPr>
          <w:sz w:val="17"/>
          <w:szCs w:val="17"/>
        </w:rPr>
        <w:t>uperintendent delegate responsibility for examining, evaluating, and selecting all supplemental and temporary supplemental materials to the professional staff of the district. This includes preparing all student reading lists. Staff will rely on reason and</w:t>
      </w:r>
      <w:r>
        <w:rPr>
          <w:sz w:val="17"/>
          <w:szCs w:val="17"/>
        </w:rPr>
        <w:t xml:space="preserve"> professional judgment in the selection of high quality supplemental materials that align to state learning standards and are appropriate for the instructional program and developmental level and interests of their students. </w:t>
      </w:r>
      <w: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270"/>
        <w:gridCol w:w="45"/>
      </w:tblGrid>
      <w:tr w:rsidR="00000000">
        <w:trPr>
          <w:gridAfter w:val="1"/>
          <w:tblCellSpacing w:w="15" w:type="dxa"/>
        </w:trPr>
        <w:tc>
          <w:tcPr>
            <w:tcW w:w="3000" w:type="dxa"/>
            <w:vAlign w:val="center"/>
            <w:hideMark/>
          </w:tcPr>
          <w:p w:rsidR="00000000" w:rsidRDefault="00D7286C">
            <w:r>
              <w:t xml:space="preserve">Cross References: </w:t>
            </w:r>
          </w:p>
        </w:tc>
        <w:tc>
          <w:tcPr>
            <w:tcW w:w="0" w:type="auto"/>
            <w:vAlign w:val="center"/>
            <w:hideMark/>
          </w:tcPr>
          <w:p w:rsidR="00000000" w:rsidRDefault="00D7286C">
            <w:r>
              <w:t>2027 -</w:t>
            </w:r>
            <w:r>
              <w:t xml:space="preserve"> District Ownership of Staff-Created Work </w:t>
            </w:r>
          </w:p>
        </w:tc>
      </w:tr>
      <w:tr w:rsidR="00000000">
        <w:trPr>
          <w:gridAfter w:val="1"/>
          <w:tblCellSpacing w:w="15" w:type="dxa"/>
        </w:trPr>
        <w:tc>
          <w:tcPr>
            <w:tcW w:w="3000" w:type="dxa"/>
            <w:vAlign w:val="center"/>
            <w:hideMark/>
          </w:tcPr>
          <w:p w:rsidR="00000000" w:rsidRDefault="00D7286C"/>
        </w:tc>
        <w:tc>
          <w:tcPr>
            <w:tcW w:w="0" w:type="auto"/>
            <w:vAlign w:val="center"/>
            <w:hideMark/>
          </w:tcPr>
          <w:p w:rsidR="00000000" w:rsidRDefault="00D7286C">
            <w:pPr>
              <w:rPr>
                <w:rFonts w:ascii="Times New Roman" w:eastAsia="Times New Roman" w:hAnsi="Times New Roman"/>
                <w:szCs w:val="20"/>
              </w:rPr>
            </w:pPr>
          </w:p>
        </w:tc>
      </w:tr>
      <w:tr w:rsidR="00000000">
        <w:trPr>
          <w:tblCellSpacing w:w="15" w:type="dxa"/>
        </w:trPr>
        <w:tc>
          <w:tcPr>
            <w:tcW w:w="3000" w:type="dxa"/>
            <w:vAlign w:val="center"/>
            <w:hideMark/>
          </w:tcPr>
          <w:p w:rsidR="00000000" w:rsidRDefault="00D7286C">
            <w:r>
              <w:t xml:space="preserve">Legal References: </w:t>
            </w:r>
          </w:p>
        </w:tc>
        <w:tc>
          <w:tcPr>
            <w:tcW w:w="0" w:type="auto"/>
            <w:gridSpan w:val="2"/>
            <w:vAlign w:val="center"/>
            <w:hideMark/>
          </w:tcPr>
          <w:p w:rsidR="00000000" w:rsidRDefault="00D7286C">
            <w:r>
              <w:t xml:space="preserve">RCW 28A.150.230 District school directors' responsibilities </w:t>
            </w:r>
          </w:p>
        </w:tc>
      </w:tr>
      <w:tr w:rsidR="00000000">
        <w:trPr>
          <w:tblCellSpacing w:w="15" w:type="dxa"/>
        </w:trPr>
        <w:tc>
          <w:tcPr>
            <w:tcW w:w="3000" w:type="dxa"/>
            <w:vAlign w:val="center"/>
            <w:hideMark/>
          </w:tcPr>
          <w:p w:rsidR="00000000" w:rsidRDefault="00D7286C"/>
        </w:tc>
        <w:tc>
          <w:tcPr>
            <w:tcW w:w="0" w:type="auto"/>
            <w:gridSpan w:val="2"/>
            <w:vAlign w:val="center"/>
            <w:hideMark/>
          </w:tcPr>
          <w:p w:rsidR="00000000" w:rsidRDefault="00D7286C">
            <w:r>
              <w:t xml:space="preserve">RCW 28A.320.230 Instructional materials — Instructional materials committee </w:t>
            </w:r>
          </w:p>
        </w:tc>
      </w:tr>
      <w:tr w:rsidR="00000000">
        <w:trPr>
          <w:tblCellSpacing w:w="15" w:type="dxa"/>
        </w:trPr>
        <w:tc>
          <w:tcPr>
            <w:tcW w:w="3000" w:type="dxa"/>
            <w:vAlign w:val="center"/>
            <w:hideMark/>
          </w:tcPr>
          <w:p w:rsidR="00000000" w:rsidRDefault="00D7286C"/>
        </w:tc>
        <w:tc>
          <w:tcPr>
            <w:tcW w:w="0" w:type="auto"/>
            <w:gridSpan w:val="2"/>
            <w:vAlign w:val="center"/>
            <w:hideMark/>
          </w:tcPr>
          <w:p w:rsidR="00000000" w:rsidRDefault="00D7286C">
            <w:r>
              <w:t xml:space="preserve">RCW 28A.320.170 Tribal history and culture [as amended by SSB 5433] </w:t>
            </w:r>
          </w:p>
        </w:tc>
      </w:tr>
      <w:tr w:rsidR="00000000">
        <w:trPr>
          <w:tblCellSpacing w:w="15" w:type="dxa"/>
        </w:trPr>
        <w:tc>
          <w:tcPr>
            <w:tcW w:w="3000" w:type="dxa"/>
            <w:vAlign w:val="center"/>
            <w:hideMark/>
          </w:tcPr>
          <w:p w:rsidR="00000000" w:rsidRDefault="00D7286C"/>
        </w:tc>
        <w:tc>
          <w:tcPr>
            <w:tcW w:w="0" w:type="auto"/>
            <w:gridSpan w:val="2"/>
            <w:vAlign w:val="center"/>
            <w:hideMark/>
          </w:tcPr>
          <w:p w:rsidR="00000000" w:rsidRDefault="00D7286C">
            <w:r>
              <w:t xml:space="preserve">RCW 28A.405.060 Course of study and regulations —Enforcement — Withholding salary warrant for failure </w:t>
            </w:r>
          </w:p>
        </w:tc>
      </w:tr>
      <w:tr w:rsidR="00000000">
        <w:trPr>
          <w:tblCellSpacing w:w="15" w:type="dxa"/>
        </w:trPr>
        <w:tc>
          <w:tcPr>
            <w:tcW w:w="3000" w:type="dxa"/>
            <w:vAlign w:val="center"/>
            <w:hideMark/>
          </w:tcPr>
          <w:p w:rsidR="00000000" w:rsidRDefault="00D7286C"/>
        </w:tc>
        <w:tc>
          <w:tcPr>
            <w:tcW w:w="0" w:type="auto"/>
            <w:gridSpan w:val="2"/>
            <w:vAlign w:val="center"/>
            <w:hideMark/>
          </w:tcPr>
          <w:p w:rsidR="00000000" w:rsidRDefault="00D7286C">
            <w:r>
              <w:t xml:space="preserve">Chapter 28A.640 RCW Sexual Equality </w:t>
            </w:r>
          </w:p>
        </w:tc>
      </w:tr>
      <w:tr w:rsidR="00000000">
        <w:trPr>
          <w:tblCellSpacing w:w="15" w:type="dxa"/>
        </w:trPr>
        <w:tc>
          <w:tcPr>
            <w:tcW w:w="3000" w:type="dxa"/>
            <w:vAlign w:val="center"/>
            <w:hideMark/>
          </w:tcPr>
          <w:p w:rsidR="00000000" w:rsidRDefault="00D7286C"/>
        </w:tc>
        <w:tc>
          <w:tcPr>
            <w:tcW w:w="0" w:type="auto"/>
            <w:gridSpan w:val="2"/>
            <w:vAlign w:val="center"/>
            <w:hideMark/>
          </w:tcPr>
          <w:p w:rsidR="00000000" w:rsidRDefault="00D7286C">
            <w:r>
              <w:t xml:space="preserve">WAC 180-44-010 Responsibilities related to instruction </w:t>
            </w:r>
          </w:p>
        </w:tc>
      </w:tr>
      <w:tr w:rsidR="00000000">
        <w:trPr>
          <w:tblCellSpacing w:w="15" w:type="dxa"/>
        </w:trPr>
        <w:tc>
          <w:tcPr>
            <w:tcW w:w="3000" w:type="dxa"/>
            <w:vAlign w:val="center"/>
            <w:hideMark/>
          </w:tcPr>
          <w:p w:rsidR="00000000" w:rsidRDefault="00D7286C"/>
        </w:tc>
        <w:tc>
          <w:tcPr>
            <w:tcW w:w="0" w:type="auto"/>
            <w:gridSpan w:val="2"/>
            <w:vAlign w:val="center"/>
            <w:hideMark/>
          </w:tcPr>
          <w:p w:rsidR="00000000" w:rsidRDefault="00D7286C">
            <w:r>
              <w:t xml:space="preserve">WAC 392-190-055 Textbooks and instructional materials — Scope — Elimination of bias </w:t>
            </w:r>
          </w:p>
        </w:tc>
      </w:tr>
      <w:tr w:rsidR="00000000">
        <w:trPr>
          <w:tblCellSpacing w:w="15" w:type="dxa"/>
        </w:trPr>
        <w:tc>
          <w:tcPr>
            <w:tcW w:w="3000" w:type="dxa"/>
            <w:vAlign w:val="center"/>
            <w:hideMark/>
          </w:tcPr>
          <w:p w:rsidR="00000000" w:rsidRDefault="00D7286C"/>
        </w:tc>
        <w:tc>
          <w:tcPr>
            <w:tcW w:w="0" w:type="auto"/>
            <w:gridSpan w:val="2"/>
            <w:vAlign w:val="center"/>
            <w:hideMark/>
          </w:tcPr>
          <w:p w:rsidR="00000000" w:rsidRDefault="00D7286C">
            <w:pPr>
              <w:rPr>
                <w:rFonts w:ascii="Times New Roman" w:eastAsia="Times New Roman" w:hAnsi="Times New Roman"/>
                <w:szCs w:val="20"/>
              </w:rPr>
            </w:pPr>
          </w:p>
        </w:tc>
      </w:tr>
    </w:tbl>
    <w:p w:rsidR="00000000" w:rsidRDefault="00D7286C">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2444"/>
      </w:tblGrid>
      <w:tr w:rsidR="00000000">
        <w:trPr>
          <w:tblCellSpacing w:w="15" w:type="dxa"/>
        </w:trPr>
        <w:tc>
          <w:tcPr>
            <w:tcW w:w="3000" w:type="dxa"/>
            <w:vAlign w:val="center"/>
            <w:hideMark/>
          </w:tcPr>
          <w:p w:rsidR="00000000" w:rsidRDefault="00D7286C">
            <w:r>
              <w:t xml:space="preserve">Management Resources: </w:t>
            </w:r>
          </w:p>
        </w:tc>
        <w:tc>
          <w:tcPr>
            <w:tcW w:w="0" w:type="auto"/>
            <w:vAlign w:val="center"/>
            <w:hideMark/>
          </w:tcPr>
          <w:p w:rsidR="00000000" w:rsidRDefault="00D7286C">
            <w:r>
              <w:t xml:space="preserve">2015 - December Issue </w:t>
            </w:r>
          </w:p>
        </w:tc>
      </w:tr>
      <w:tr w:rsidR="00000000">
        <w:trPr>
          <w:tblCellSpacing w:w="15" w:type="dxa"/>
        </w:trPr>
        <w:tc>
          <w:tcPr>
            <w:tcW w:w="3000" w:type="dxa"/>
            <w:vAlign w:val="center"/>
            <w:hideMark/>
          </w:tcPr>
          <w:p w:rsidR="00000000" w:rsidRDefault="00D7286C"/>
        </w:tc>
        <w:tc>
          <w:tcPr>
            <w:tcW w:w="0" w:type="auto"/>
            <w:vAlign w:val="center"/>
            <w:hideMark/>
          </w:tcPr>
          <w:p w:rsidR="00000000" w:rsidRDefault="00D7286C">
            <w:pPr>
              <w:rPr>
                <w:rFonts w:ascii="Times New Roman" w:eastAsia="Times New Roman" w:hAnsi="Times New Roman"/>
                <w:szCs w:val="20"/>
              </w:rPr>
            </w:pPr>
          </w:p>
        </w:tc>
      </w:tr>
    </w:tbl>
    <w:p w:rsidR="00000000" w:rsidRDefault="00D7286C">
      <w:pPr>
        <w:pStyle w:val="NormalWeb"/>
      </w:pPr>
      <w:r>
        <w:t xml:space="preserve">Adoption Date: </w:t>
      </w:r>
      <w:r w:rsidR="009E7328">
        <w:t>March 23, 2009</w:t>
      </w:r>
      <w:bookmarkStart w:id="0" w:name="_GoBack"/>
      <w:bookmarkEnd w:id="0"/>
      <w:r>
        <w:br/>
        <w:t xml:space="preserve">Classification: </w:t>
      </w:r>
      <w:r>
        <w:rPr>
          <w:b/>
          <w:bCs/>
        </w:rPr>
        <w:t>Essential</w:t>
      </w:r>
      <w:r>
        <w:br/>
      </w:r>
      <w:r>
        <w:t xml:space="preserve">Revised Dates: </w:t>
      </w:r>
      <w:r>
        <w:rPr>
          <w:b/>
          <w:bCs/>
        </w:rPr>
        <w:t>04.99; 06.11; 04.15; 12.15</w:t>
      </w:r>
    </w:p>
    <w:p w:rsidR="00000000" w:rsidRDefault="00D7286C">
      <w:pPr>
        <w:rPr>
          <w:rFonts w:ascii="Times New Roman" w:eastAsia="Times New Roman" w:hAnsi="Times New Roman"/>
          <w:sz w:val="24"/>
          <w:szCs w:val="24"/>
        </w:rPr>
      </w:pPr>
    </w:p>
    <w:p w:rsidR="00000000" w:rsidRDefault="00D7286C">
      <w:pPr>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a0a0a0" stroked="f"/>
        </w:pict>
      </w:r>
    </w:p>
    <w:p w:rsidR="00D7286C" w:rsidRDefault="00D7286C">
      <w:pPr>
        <w:pStyle w:val="NormalWeb"/>
        <w:rPr>
          <w:color w:val="999999"/>
        </w:rPr>
      </w:pPr>
      <w:r>
        <w:rPr>
          <w:color w:val="999999"/>
        </w:rPr>
        <w:t>© 2014-2018 Washington State School Directors' Association. All rights reserved.</w:t>
      </w:r>
    </w:p>
    <w:sectPr w:rsidR="00D72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14CFD"/>
    <w:multiLevelType w:val="multilevel"/>
    <w:tmpl w:val="8E74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760B49"/>
    <w:multiLevelType w:val="multilevel"/>
    <w:tmpl w:val="1F648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E7328"/>
    <w:rsid w:val="008A1537"/>
    <w:rsid w:val="009E7328"/>
    <w:rsid w:val="00D72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923FBF-E997-4DC4-8AFA-7E39492B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Dingman</dc:creator>
  <cp:keywords/>
  <dc:description/>
  <cp:lastModifiedBy>Jake Dingman</cp:lastModifiedBy>
  <cp:revision>2</cp:revision>
  <dcterms:created xsi:type="dcterms:W3CDTF">2018-09-27T17:53:00Z</dcterms:created>
  <dcterms:modified xsi:type="dcterms:W3CDTF">2018-09-27T17:53:00Z</dcterms:modified>
</cp:coreProperties>
</file>