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5412" w14:textId="77777777" w:rsidR="00E07680" w:rsidRDefault="00E076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Times" w:hAnsi="Times"/>
          <w:sz w:val="28"/>
        </w:rPr>
      </w:pPr>
    </w:p>
    <w:p w14:paraId="2B75FF99" w14:textId="77777777" w:rsidR="00E07680" w:rsidRPr="00387241" w:rsidRDefault="007E5667" w:rsidP="007E5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center"/>
        <w:rPr>
          <w:rFonts w:ascii="Bookman Old Style" w:hAnsi="Bookman Old Style" w:cs="Arial"/>
          <w:b/>
          <w:color w:val="5F497A"/>
          <w:sz w:val="40"/>
          <w:szCs w:val="40"/>
        </w:rPr>
      </w:pPr>
      <w:r w:rsidRPr="00387241">
        <w:rPr>
          <w:rFonts w:ascii="Bookman Old Style" w:hAnsi="Bookman Old Style" w:cs="Arial"/>
          <w:b/>
          <w:color w:val="5F497A"/>
          <w:sz w:val="40"/>
          <w:szCs w:val="40"/>
        </w:rPr>
        <w:t>DIXON PUBLIC SCHOOLS #170</w:t>
      </w:r>
    </w:p>
    <w:p w14:paraId="68DB47E0" w14:textId="77777777" w:rsidR="007E5667" w:rsidRPr="00387241" w:rsidRDefault="007E5667" w:rsidP="007E5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center"/>
        <w:rPr>
          <w:rFonts w:ascii="Monotype Corsiva" w:hAnsi="Monotype Corsiva" w:cs="Arial"/>
          <w:b/>
          <w:color w:val="5F497A"/>
          <w:sz w:val="32"/>
          <w:szCs w:val="32"/>
        </w:rPr>
      </w:pPr>
      <w:r w:rsidRPr="00387241">
        <w:rPr>
          <w:rFonts w:ascii="Monotype Corsiva" w:hAnsi="Monotype Corsiva" w:cs="Arial"/>
          <w:b/>
          <w:color w:val="5F497A"/>
          <w:sz w:val="32"/>
          <w:szCs w:val="32"/>
        </w:rPr>
        <w:t>“</w:t>
      </w:r>
      <w:smartTag w:uri="urn:schemas-microsoft-com:office:smarttags" w:element="address">
        <w:smartTag w:uri="urn:schemas-microsoft-com:office:smarttags" w:element="Street">
          <w:r w:rsidRPr="00387241">
            <w:rPr>
              <w:rFonts w:ascii="Monotype Corsiva" w:hAnsi="Monotype Corsiva" w:cs="Arial"/>
              <w:b/>
              <w:color w:val="5F497A"/>
              <w:sz w:val="32"/>
              <w:szCs w:val="32"/>
            </w:rPr>
            <w:t>A Place</w:t>
          </w:r>
        </w:smartTag>
      </w:smartTag>
      <w:r w:rsidRPr="00387241">
        <w:rPr>
          <w:rFonts w:ascii="Monotype Corsiva" w:hAnsi="Monotype Corsiva" w:cs="Arial"/>
          <w:b/>
          <w:color w:val="5F497A"/>
          <w:sz w:val="32"/>
          <w:szCs w:val="32"/>
        </w:rPr>
        <w:t xml:space="preserve"> to Grow”</w:t>
      </w:r>
    </w:p>
    <w:p w14:paraId="3F615E87" w14:textId="77777777" w:rsidR="007E5667" w:rsidRPr="008E0639" w:rsidRDefault="00ED6594" w:rsidP="007E5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center"/>
        <w:rPr>
          <w:rFonts w:ascii="Monotype Corsiva" w:hAnsi="Monotype Corsiva" w:cs="Arial"/>
          <w:b/>
          <w:color w:val="002060"/>
          <w:szCs w:val="24"/>
        </w:rPr>
      </w:pPr>
      <w:hyperlink r:id="rId11" w:history="1">
        <w:r w:rsidR="008E0639" w:rsidRPr="00E73716">
          <w:rPr>
            <w:rStyle w:val="Hyperlink"/>
            <w:rFonts w:ascii="Monotype Corsiva" w:hAnsi="Monotype Corsiva" w:cs="Arial"/>
            <w:b/>
            <w:szCs w:val="24"/>
          </w:rPr>
          <w:t>www.dps170.org</w:t>
        </w:r>
      </w:hyperlink>
    </w:p>
    <w:p w14:paraId="15742814" w14:textId="77777777" w:rsidR="007E5667" w:rsidRPr="007E5667" w:rsidRDefault="007E5667" w:rsidP="007E5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Monotype Corsiva" w:hAnsi="Monotype Corsiva" w:cs="Arial"/>
          <w:b/>
          <w:color w:val="7030A0"/>
          <w:szCs w:val="24"/>
        </w:rPr>
      </w:pPr>
    </w:p>
    <w:p w14:paraId="2432423C" w14:textId="77777777" w:rsidR="00E07680" w:rsidRPr="00387241" w:rsidRDefault="007E5667" w:rsidP="007E5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Bookman Old Style" w:hAnsi="Bookman Old Style"/>
          <w:color w:val="5F497A"/>
          <w:sz w:val="20"/>
        </w:rPr>
      </w:pPr>
      <w:r w:rsidRPr="00387241">
        <w:rPr>
          <w:rFonts w:ascii="Bookman Old Style" w:hAnsi="Bookman Old Style"/>
          <w:color w:val="5F497A"/>
          <w:sz w:val="20"/>
        </w:rPr>
        <w:t>1335 Franklin Grove Road</w:t>
      </w:r>
      <w:r w:rsidRPr="00387241">
        <w:rPr>
          <w:rFonts w:ascii="Bookman Old Style" w:hAnsi="Bookman Old Style"/>
          <w:color w:val="5F497A"/>
          <w:sz w:val="20"/>
        </w:rPr>
        <w:tab/>
      </w:r>
      <w:r w:rsidRPr="00387241">
        <w:rPr>
          <w:rFonts w:ascii="Bookman Old Style" w:hAnsi="Bookman Old Style"/>
          <w:color w:val="5F497A"/>
          <w:sz w:val="20"/>
        </w:rPr>
        <w:tab/>
      </w:r>
      <w:r w:rsidRPr="00387241">
        <w:rPr>
          <w:rFonts w:ascii="Bookman Old Style" w:hAnsi="Bookman Old Style"/>
          <w:color w:val="5F497A"/>
          <w:sz w:val="20"/>
        </w:rPr>
        <w:tab/>
      </w:r>
      <w:r w:rsidRPr="00387241">
        <w:rPr>
          <w:rFonts w:ascii="Bookman Old Style" w:hAnsi="Bookman Old Style"/>
          <w:color w:val="5F497A"/>
          <w:sz w:val="20"/>
        </w:rPr>
        <w:tab/>
      </w:r>
      <w:r w:rsidRPr="00387241">
        <w:rPr>
          <w:rFonts w:ascii="Bookman Old Style" w:hAnsi="Bookman Old Style"/>
          <w:color w:val="5F497A"/>
          <w:sz w:val="20"/>
        </w:rPr>
        <w:tab/>
      </w:r>
      <w:r w:rsidRPr="00387241">
        <w:rPr>
          <w:rFonts w:ascii="Bookman Old Style" w:hAnsi="Bookman Old Style"/>
          <w:color w:val="5F497A"/>
          <w:sz w:val="20"/>
        </w:rPr>
        <w:tab/>
        <w:t xml:space="preserve">         Phone:  (815) </w:t>
      </w:r>
      <w:r w:rsidR="00AE06F9">
        <w:rPr>
          <w:rFonts w:ascii="Bookman Old Style" w:hAnsi="Bookman Old Style"/>
          <w:color w:val="5F497A"/>
          <w:sz w:val="20"/>
        </w:rPr>
        <w:t>373-4966</w:t>
      </w:r>
    </w:p>
    <w:p w14:paraId="3723CFC3" w14:textId="72AF49ED" w:rsidR="007E5667" w:rsidRPr="00387241" w:rsidRDefault="007E5667" w:rsidP="007E56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Bookman Old Style" w:hAnsi="Bookman Old Style"/>
          <w:color w:val="5F497A"/>
          <w:sz w:val="20"/>
        </w:rPr>
      </w:pPr>
      <w:r w:rsidRPr="00387241">
        <w:rPr>
          <w:rFonts w:ascii="Bookman Old Style" w:hAnsi="Bookman Old Style"/>
          <w:color w:val="5F497A"/>
          <w:sz w:val="20"/>
        </w:rPr>
        <w:t>Dixon, Illinois 61021</w:t>
      </w:r>
      <w:r w:rsidRPr="00387241">
        <w:rPr>
          <w:rFonts w:ascii="Bookman Old Style" w:hAnsi="Bookman Old Style"/>
          <w:color w:val="5F497A"/>
          <w:sz w:val="20"/>
        </w:rPr>
        <w:tab/>
      </w:r>
      <w:r w:rsidRPr="00387241">
        <w:rPr>
          <w:rFonts w:ascii="Bookman Old Style" w:hAnsi="Bookman Old Style"/>
          <w:color w:val="5F497A"/>
          <w:sz w:val="20"/>
        </w:rPr>
        <w:tab/>
      </w:r>
      <w:r w:rsidRPr="00387241">
        <w:rPr>
          <w:rFonts w:ascii="Bookman Old Style" w:hAnsi="Bookman Old Style"/>
          <w:color w:val="5F497A"/>
          <w:sz w:val="20"/>
        </w:rPr>
        <w:tab/>
      </w:r>
      <w:r w:rsidRPr="00387241">
        <w:rPr>
          <w:rFonts w:ascii="Bookman Old Style" w:hAnsi="Bookman Old Style"/>
          <w:color w:val="5F497A"/>
          <w:sz w:val="20"/>
        </w:rPr>
        <w:tab/>
      </w:r>
      <w:r w:rsidRPr="00387241">
        <w:rPr>
          <w:rFonts w:ascii="Bookman Old Style" w:hAnsi="Bookman Old Style"/>
          <w:color w:val="5F497A"/>
          <w:sz w:val="20"/>
        </w:rPr>
        <w:tab/>
      </w:r>
      <w:r w:rsidRPr="00387241">
        <w:rPr>
          <w:rFonts w:ascii="Bookman Old Style" w:hAnsi="Bookman Old Style"/>
          <w:color w:val="5F497A"/>
          <w:sz w:val="20"/>
        </w:rPr>
        <w:tab/>
      </w:r>
      <w:r w:rsidRPr="00387241">
        <w:rPr>
          <w:rFonts w:ascii="Bookman Old Style" w:hAnsi="Bookman Old Style"/>
          <w:color w:val="5F497A"/>
          <w:sz w:val="20"/>
        </w:rPr>
        <w:tab/>
        <w:t xml:space="preserve">         Fax:  (815) 284-8576</w:t>
      </w:r>
    </w:p>
    <w:p w14:paraId="73E64F1E" w14:textId="6B1883BC" w:rsidR="005734E3" w:rsidRPr="00603975" w:rsidRDefault="00211D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rPr>
          <w:rFonts w:ascii="Bookman Old Style" w:hAnsi="Bookman Old Style"/>
          <w:sz w:val="20"/>
        </w:rPr>
      </w:pPr>
      <w:r>
        <w:rPr>
          <w:rFonts w:ascii="Bookman Old Style" w:hAnsi="Bookman Old Style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7A7067" wp14:editId="7FD009E5">
                <wp:simplePos x="0" y="0"/>
                <wp:positionH relativeFrom="column">
                  <wp:posOffset>-9525</wp:posOffset>
                </wp:positionH>
                <wp:positionV relativeFrom="paragraph">
                  <wp:posOffset>68580</wp:posOffset>
                </wp:positionV>
                <wp:extent cx="5953125" cy="285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3125" cy="285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5F497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E18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5.4pt;width:468.75pt;height:2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" strokecolor="#5f497a" strokeweight="3pt">
                <v:shadow color="#3f3151" opacity=".5" offset="1pt"/>
              </v:shape>
            </w:pict>
          </mc:Fallback>
        </mc:AlternateContent>
      </w:r>
    </w:p>
    <w:p w14:paraId="65762596" w14:textId="52766E29" w:rsidR="007E5667" w:rsidRDefault="00683681" w:rsidP="002243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both"/>
        <w:rPr>
          <w:rFonts w:ascii="Times" w:hAnsi="Times"/>
          <w:color w:val="5F497A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="00E26598" w:rsidRPr="00E26598">
        <w:rPr>
          <w:rFonts w:ascii="Times" w:hAnsi="Times"/>
          <w:color w:val="5F497A"/>
          <w:sz w:val="20"/>
        </w:rPr>
        <w:t xml:space="preserve">                      </w:t>
      </w:r>
      <w:r w:rsidR="007E5667" w:rsidRPr="00E26598">
        <w:rPr>
          <w:rFonts w:ascii="Times" w:hAnsi="Times"/>
          <w:color w:val="5F497A"/>
          <w:sz w:val="20"/>
        </w:rPr>
        <w:t xml:space="preserve"> </w:t>
      </w:r>
      <w:r w:rsidR="00603975">
        <w:rPr>
          <w:rFonts w:ascii="Times" w:hAnsi="Times"/>
          <w:color w:val="5F497A"/>
          <w:sz w:val="20"/>
        </w:rPr>
        <w:t xml:space="preserve">          </w:t>
      </w:r>
      <w:r w:rsidR="0022433A">
        <w:rPr>
          <w:rFonts w:ascii="Times" w:hAnsi="Times"/>
          <w:color w:val="5F497A"/>
          <w:sz w:val="20"/>
        </w:rPr>
        <w:t xml:space="preserve">   Margo Empen</w:t>
      </w:r>
      <w:r w:rsidR="00E26598" w:rsidRPr="00E26598">
        <w:rPr>
          <w:rFonts w:ascii="Times" w:hAnsi="Times"/>
          <w:color w:val="5F497A"/>
          <w:sz w:val="20"/>
        </w:rPr>
        <w:t>, Superintendent</w:t>
      </w:r>
    </w:p>
    <w:p w14:paraId="246D0944" w14:textId="76FC0E79" w:rsidR="0027632F" w:rsidRDefault="0027632F" w:rsidP="002243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both"/>
        <w:rPr>
          <w:rFonts w:ascii="Times" w:hAnsi="Times"/>
          <w:color w:val="5F497A"/>
          <w:sz w:val="20"/>
        </w:rPr>
      </w:pPr>
    </w:p>
    <w:p w14:paraId="6034A707" w14:textId="4CE43D93" w:rsidR="0027632F" w:rsidRPr="00CB5B6F" w:rsidRDefault="0027632F" w:rsidP="00380239">
      <w:pPr>
        <w:rPr>
          <w:b/>
          <w:bCs/>
        </w:rPr>
      </w:pPr>
    </w:p>
    <w:tbl>
      <w:tblPr>
        <w:tblStyle w:val="TableGrid"/>
        <w:tblpPr w:leftFromText="180" w:rightFromText="180" w:vertAnchor="page" w:horzAnchor="margin" w:tblpXSpec="center" w:tblpY="3541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</w:tblGrid>
      <w:tr w:rsidR="0027632F" w14:paraId="03C28DB0" w14:textId="77777777" w:rsidTr="006D4032">
        <w:tc>
          <w:tcPr>
            <w:tcW w:w="7660" w:type="dxa"/>
            <w:gridSpan w:val="4"/>
          </w:tcPr>
          <w:p w14:paraId="5EF8A443" w14:textId="77777777" w:rsidR="0027632F" w:rsidRPr="00360673" w:rsidRDefault="0027632F" w:rsidP="006D40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DPS 170 Individual Building or District Health Metrics </w:t>
            </w:r>
          </w:p>
        </w:tc>
      </w:tr>
      <w:tr w:rsidR="0027632F" w14:paraId="309001BE" w14:textId="77777777" w:rsidTr="006D4032">
        <w:tc>
          <w:tcPr>
            <w:tcW w:w="1915" w:type="dxa"/>
          </w:tcPr>
          <w:p w14:paraId="59C24944" w14:textId="77777777" w:rsidR="0027632F" w:rsidRDefault="0027632F" w:rsidP="006D4032"/>
        </w:tc>
        <w:tc>
          <w:tcPr>
            <w:tcW w:w="1915" w:type="dxa"/>
            <w:shd w:val="clear" w:color="auto" w:fill="00B050"/>
          </w:tcPr>
          <w:p w14:paraId="0D81959D" w14:textId="77777777" w:rsidR="0027632F" w:rsidRDefault="0027632F" w:rsidP="006D4032">
            <w:pPr>
              <w:jc w:val="center"/>
            </w:pPr>
            <w:r w:rsidRPr="00360673">
              <w:rPr>
                <w:b/>
                <w:bCs/>
              </w:rPr>
              <w:t>Low Risk</w:t>
            </w:r>
            <w:r>
              <w:t xml:space="preserve"> - Stay in school</w:t>
            </w:r>
          </w:p>
        </w:tc>
        <w:tc>
          <w:tcPr>
            <w:tcW w:w="1915" w:type="dxa"/>
            <w:shd w:val="clear" w:color="auto" w:fill="FFFF00"/>
          </w:tcPr>
          <w:p w14:paraId="3F556EB1" w14:textId="77777777" w:rsidR="0027632F" w:rsidRDefault="0027632F" w:rsidP="006D4032">
            <w:pPr>
              <w:jc w:val="center"/>
            </w:pPr>
            <w:r w:rsidRPr="00360673">
              <w:rPr>
                <w:b/>
                <w:bCs/>
              </w:rPr>
              <w:t>Medium Risk</w:t>
            </w:r>
            <w:r>
              <w:t xml:space="preserve"> – Stay in school but closely monitor data</w:t>
            </w:r>
          </w:p>
        </w:tc>
        <w:tc>
          <w:tcPr>
            <w:tcW w:w="1915" w:type="dxa"/>
            <w:shd w:val="clear" w:color="auto" w:fill="FF0000"/>
          </w:tcPr>
          <w:p w14:paraId="4B846127" w14:textId="77777777" w:rsidR="0027632F" w:rsidRDefault="0027632F" w:rsidP="006D4032">
            <w:pPr>
              <w:jc w:val="center"/>
            </w:pPr>
            <w:r w:rsidRPr="00360673">
              <w:rPr>
                <w:b/>
                <w:bCs/>
              </w:rPr>
              <w:t>High Risk</w:t>
            </w:r>
            <w:r>
              <w:t xml:space="preserve"> – Consider closing school temporarily for an adaptive pause</w:t>
            </w:r>
          </w:p>
        </w:tc>
      </w:tr>
      <w:tr w:rsidR="0027632F" w14:paraId="2F5B0878" w14:textId="77777777" w:rsidTr="006D4032">
        <w:tc>
          <w:tcPr>
            <w:tcW w:w="1915" w:type="dxa"/>
          </w:tcPr>
          <w:p w14:paraId="1F9F9112" w14:textId="77777777" w:rsidR="0027632F" w:rsidRDefault="0027632F" w:rsidP="006D4032">
            <w:r>
              <w:t>% Positive Student COVID Cases</w:t>
            </w:r>
            <w:r w:rsidRPr="00360673">
              <w:rPr>
                <w:b/>
                <w:bCs/>
              </w:rPr>
              <w:t xml:space="preserve"> </w:t>
            </w:r>
          </w:p>
        </w:tc>
        <w:tc>
          <w:tcPr>
            <w:tcW w:w="1915" w:type="dxa"/>
            <w:shd w:val="clear" w:color="auto" w:fill="00B050"/>
          </w:tcPr>
          <w:p w14:paraId="478D181C" w14:textId="77777777" w:rsidR="0027632F" w:rsidRDefault="0027632F" w:rsidP="006D4032">
            <w:r>
              <w:t>&lt; 0.5%</w:t>
            </w:r>
          </w:p>
        </w:tc>
        <w:tc>
          <w:tcPr>
            <w:tcW w:w="1915" w:type="dxa"/>
            <w:shd w:val="clear" w:color="auto" w:fill="FFFF00"/>
          </w:tcPr>
          <w:p w14:paraId="0AE2C956" w14:textId="77777777" w:rsidR="0027632F" w:rsidRDefault="0027632F" w:rsidP="006D4032">
            <w:r>
              <w:t>Between 0.5% - 0.99%</w:t>
            </w:r>
          </w:p>
        </w:tc>
        <w:tc>
          <w:tcPr>
            <w:tcW w:w="1915" w:type="dxa"/>
            <w:shd w:val="clear" w:color="auto" w:fill="FF0000"/>
          </w:tcPr>
          <w:p w14:paraId="39528F95" w14:textId="77777777" w:rsidR="0027632F" w:rsidRDefault="0027632F" w:rsidP="006D4032">
            <w:r>
              <w:t>1% or greater</w:t>
            </w:r>
          </w:p>
        </w:tc>
      </w:tr>
      <w:tr w:rsidR="0027632F" w14:paraId="06E02432" w14:textId="77777777" w:rsidTr="006D4032">
        <w:tc>
          <w:tcPr>
            <w:tcW w:w="1915" w:type="dxa"/>
          </w:tcPr>
          <w:p w14:paraId="5260A60E" w14:textId="77777777" w:rsidR="0027632F" w:rsidRDefault="0027632F" w:rsidP="006D4032">
            <w:r>
              <w:t xml:space="preserve">% Quarantined Students </w:t>
            </w:r>
          </w:p>
        </w:tc>
        <w:tc>
          <w:tcPr>
            <w:tcW w:w="1915" w:type="dxa"/>
            <w:shd w:val="clear" w:color="auto" w:fill="00B050"/>
          </w:tcPr>
          <w:p w14:paraId="60CF4558" w14:textId="77777777" w:rsidR="0027632F" w:rsidRDefault="0027632F" w:rsidP="006D4032">
            <w:r>
              <w:t>&lt; 10%</w:t>
            </w:r>
          </w:p>
        </w:tc>
        <w:tc>
          <w:tcPr>
            <w:tcW w:w="1915" w:type="dxa"/>
            <w:shd w:val="clear" w:color="auto" w:fill="FFFF00"/>
          </w:tcPr>
          <w:p w14:paraId="0AA42E25" w14:textId="77777777" w:rsidR="0027632F" w:rsidRDefault="0027632F" w:rsidP="006D4032">
            <w:r>
              <w:t>Between 11%-19%</w:t>
            </w:r>
          </w:p>
        </w:tc>
        <w:tc>
          <w:tcPr>
            <w:tcW w:w="1915" w:type="dxa"/>
            <w:shd w:val="clear" w:color="auto" w:fill="FF0000"/>
          </w:tcPr>
          <w:p w14:paraId="578AE781" w14:textId="77777777" w:rsidR="0027632F" w:rsidRDefault="0027632F" w:rsidP="006D4032">
            <w:r>
              <w:t>20% or greater</w:t>
            </w:r>
          </w:p>
        </w:tc>
      </w:tr>
    </w:tbl>
    <w:p w14:paraId="4D8606BC" w14:textId="77777777" w:rsidR="00B47F92" w:rsidRDefault="00B47F92" w:rsidP="0027632F">
      <w:pPr>
        <w:rPr>
          <w:b/>
          <w:bCs/>
          <w:u w:val="single"/>
        </w:rPr>
      </w:pPr>
    </w:p>
    <w:p w14:paraId="36D1F24F" w14:textId="77777777" w:rsidR="005322FC" w:rsidRDefault="005322FC" w:rsidP="00380239">
      <w:pPr>
        <w:jc w:val="center"/>
        <w:rPr>
          <w:b/>
          <w:bCs/>
          <w:u w:val="single"/>
        </w:rPr>
      </w:pPr>
    </w:p>
    <w:p w14:paraId="493DABCE" w14:textId="77777777" w:rsidR="005322FC" w:rsidRDefault="005322FC" w:rsidP="00380239">
      <w:pPr>
        <w:jc w:val="center"/>
        <w:rPr>
          <w:b/>
          <w:bCs/>
          <w:u w:val="single"/>
        </w:rPr>
      </w:pPr>
    </w:p>
    <w:p w14:paraId="13596CAA" w14:textId="68AA64E3" w:rsidR="005322FC" w:rsidRDefault="005322FC" w:rsidP="00380239">
      <w:pPr>
        <w:jc w:val="center"/>
        <w:rPr>
          <w:b/>
          <w:bCs/>
          <w:u w:val="single"/>
        </w:rPr>
      </w:pPr>
    </w:p>
    <w:p w14:paraId="6BED3BF8" w14:textId="07227B54" w:rsidR="005322FC" w:rsidRDefault="005322FC" w:rsidP="00380239">
      <w:pPr>
        <w:jc w:val="center"/>
        <w:rPr>
          <w:b/>
          <w:bCs/>
          <w:u w:val="single"/>
        </w:rPr>
      </w:pPr>
    </w:p>
    <w:p w14:paraId="50E1FE16" w14:textId="08DD7128" w:rsidR="005322FC" w:rsidRDefault="005322FC" w:rsidP="00380239">
      <w:pPr>
        <w:jc w:val="center"/>
        <w:rPr>
          <w:b/>
          <w:bCs/>
          <w:u w:val="single"/>
        </w:rPr>
      </w:pPr>
    </w:p>
    <w:p w14:paraId="324AB2DF" w14:textId="76BCD659" w:rsidR="005322FC" w:rsidRDefault="005322FC" w:rsidP="00380239">
      <w:pPr>
        <w:jc w:val="center"/>
        <w:rPr>
          <w:b/>
          <w:bCs/>
          <w:u w:val="single"/>
        </w:rPr>
      </w:pPr>
    </w:p>
    <w:p w14:paraId="4577FD28" w14:textId="2737C5DE" w:rsidR="005322FC" w:rsidRDefault="005322FC" w:rsidP="00380239">
      <w:pPr>
        <w:jc w:val="center"/>
        <w:rPr>
          <w:b/>
          <w:bCs/>
          <w:u w:val="single"/>
        </w:rPr>
      </w:pPr>
    </w:p>
    <w:p w14:paraId="21AEA36D" w14:textId="43C054E7" w:rsidR="005322FC" w:rsidRDefault="005322FC" w:rsidP="00380239">
      <w:pPr>
        <w:jc w:val="center"/>
        <w:rPr>
          <w:b/>
          <w:bCs/>
          <w:u w:val="single"/>
        </w:rPr>
      </w:pPr>
    </w:p>
    <w:p w14:paraId="4486069F" w14:textId="64B8E065" w:rsidR="005322FC" w:rsidRDefault="005322FC" w:rsidP="00380239">
      <w:pPr>
        <w:jc w:val="center"/>
        <w:rPr>
          <w:b/>
          <w:bCs/>
          <w:u w:val="single"/>
        </w:rPr>
      </w:pPr>
    </w:p>
    <w:p w14:paraId="23856C58" w14:textId="509A23CA" w:rsidR="005322FC" w:rsidRDefault="005322FC" w:rsidP="00380239">
      <w:pPr>
        <w:jc w:val="center"/>
        <w:rPr>
          <w:b/>
          <w:bCs/>
          <w:u w:val="single"/>
        </w:rPr>
      </w:pPr>
    </w:p>
    <w:p w14:paraId="445BE296" w14:textId="1410650B" w:rsidR="005322FC" w:rsidRDefault="005322FC" w:rsidP="00380239">
      <w:pPr>
        <w:jc w:val="center"/>
        <w:rPr>
          <w:b/>
          <w:bCs/>
          <w:u w:val="single"/>
        </w:rPr>
      </w:pPr>
    </w:p>
    <w:p w14:paraId="54011496" w14:textId="487FA42B" w:rsidR="005322FC" w:rsidRDefault="005322FC" w:rsidP="00380239">
      <w:pPr>
        <w:jc w:val="center"/>
        <w:rPr>
          <w:b/>
          <w:bCs/>
          <w:u w:val="single"/>
        </w:rPr>
      </w:pPr>
    </w:p>
    <w:p w14:paraId="068358D9" w14:textId="4D81BEA7" w:rsidR="006E171D" w:rsidRPr="00E03268" w:rsidRDefault="00D55200" w:rsidP="005322FC">
      <w:pPr>
        <w:rPr>
          <w:rFonts w:ascii="Times New Roman" w:hAnsi="Times New Roman"/>
        </w:rPr>
      </w:pPr>
      <w:r w:rsidRPr="00E03268">
        <w:rPr>
          <w:rFonts w:ascii="Times New Roman" w:hAnsi="Times New Roman"/>
        </w:rPr>
        <w:t>The numbers below are for the week ending</w:t>
      </w:r>
      <w:r w:rsidR="007F08FD" w:rsidRPr="00E03268">
        <w:rPr>
          <w:rFonts w:ascii="Times New Roman" w:hAnsi="Times New Roman"/>
        </w:rPr>
        <w:t xml:space="preserve"> </w:t>
      </w:r>
      <w:r w:rsidR="001B530A">
        <w:rPr>
          <w:rFonts w:ascii="Times New Roman" w:hAnsi="Times New Roman"/>
        </w:rPr>
        <w:t xml:space="preserve">February </w:t>
      </w:r>
      <w:r w:rsidR="004D23DF">
        <w:rPr>
          <w:rFonts w:ascii="Times New Roman" w:hAnsi="Times New Roman"/>
        </w:rPr>
        <w:t>20</w:t>
      </w:r>
      <w:r w:rsidR="00597F6C" w:rsidRPr="00E03268">
        <w:rPr>
          <w:rFonts w:ascii="Times New Roman" w:hAnsi="Times New Roman"/>
        </w:rPr>
        <w:t>, 2022</w:t>
      </w:r>
      <w:r w:rsidRPr="00E03268">
        <w:rPr>
          <w:rFonts w:ascii="Times New Roman" w:hAnsi="Times New Roman"/>
        </w:rPr>
        <w:t xml:space="preserve">.  </w:t>
      </w:r>
      <w:r w:rsidR="00626EC8" w:rsidRPr="00E03268">
        <w:rPr>
          <w:rFonts w:ascii="Times New Roman" w:hAnsi="Times New Roman"/>
        </w:rPr>
        <w:t xml:space="preserve">When </w:t>
      </w:r>
      <w:r w:rsidR="00735487" w:rsidRPr="00E03268">
        <w:rPr>
          <w:rFonts w:ascii="Times New Roman" w:hAnsi="Times New Roman"/>
        </w:rPr>
        <w:t xml:space="preserve">numbers </w:t>
      </w:r>
      <w:r w:rsidR="00626EC8" w:rsidRPr="00E03268">
        <w:rPr>
          <w:rFonts w:ascii="Times New Roman" w:hAnsi="Times New Roman"/>
        </w:rPr>
        <w:t xml:space="preserve">fall </w:t>
      </w:r>
      <w:r w:rsidR="00735487" w:rsidRPr="00E03268">
        <w:rPr>
          <w:rFonts w:ascii="Times New Roman" w:hAnsi="Times New Roman"/>
        </w:rPr>
        <w:t xml:space="preserve">in the medium and </w:t>
      </w:r>
      <w:r w:rsidR="006E171D" w:rsidRPr="00E03268">
        <w:rPr>
          <w:rFonts w:ascii="Times New Roman" w:hAnsi="Times New Roman"/>
        </w:rPr>
        <w:t>high-risk</w:t>
      </w:r>
      <w:r w:rsidR="00735487" w:rsidRPr="00E03268">
        <w:rPr>
          <w:rFonts w:ascii="Times New Roman" w:hAnsi="Times New Roman"/>
        </w:rPr>
        <w:t xml:space="preserve"> categories</w:t>
      </w:r>
      <w:r w:rsidR="00626EC8" w:rsidRPr="00E03268">
        <w:rPr>
          <w:rFonts w:ascii="Times New Roman" w:hAnsi="Times New Roman"/>
        </w:rPr>
        <w:t xml:space="preserve">, we </w:t>
      </w:r>
      <w:r w:rsidR="00554F41">
        <w:rPr>
          <w:rFonts w:ascii="Times New Roman" w:hAnsi="Times New Roman"/>
        </w:rPr>
        <w:t xml:space="preserve">look at a multitude of factors in our decision making on whether to continue in-person learning or move to </w:t>
      </w:r>
      <w:r w:rsidR="008B64EB">
        <w:rPr>
          <w:rFonts w:ascii="Times New Roman" w:hAnsi="Times New Roman"/>
        </w:rPr>
        <w:t>an adaptive pause with e-learning</w:t>
      </w:r>
      <w:r w:rsidR="006E171D" w:rsidRPr="00E03268">
        <w:rPr>
          <w:rFonts w:ascii="Times New Roman" w:hAnsi="Times New Roman"/>
        </w:rPr>
        <w:t>.</w:t>
      </w:r>
    </w:p>
    <w:p w14:paraId="5BF2677E" w14:textId="77777777" w:rsidR="006E171D" w:rsidRPr="00E03268" w:rsidRDefault="006E171D" w:rsidP="006E171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E03268">
        <w:rPr>
          <w:rFonts w:ascii="Times New Roman" w:hAnsi="Times New Roman"/>
        </w:rPr>
        <w:t>Where are</w:t>
      </w:r>
      <w:r w:rsidR="00626EC8" w:rsidRPr="00E03268">
        <w:rPr>
          <w:rFonts w:ascii="Times New Roman" w:hAnsi="Times New Roman"/>
        </w:rPr>
        <w:t xml:space="preserve"> the positives and quarantines are occurring</w:t>
      </w:r>
      <w:r w:rsidRPr="00E03268">
        <w:rPr>
          <w:rFonts w:ascii="Times New Roman" w:hAnsi="Times New Roman"/>
        </w:rPr>
        <w:t>?</w:t>
      </w:r>
    </w:p>
    <w:p w14:paraId="450D0A9D" w14:textId="77777777" w:rsidR="006E171D" w:rsidRPr="00E03268" w:rsidRDefault="00C000B0" w:rsidP="006E171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E03268">
        <w:rPr>
          <w:rFonts w:ascii="Times New Roman" w:hAnsi="Times New Roman"/>
        </w:rPr>
        <w:t>Are contacts</w:t>
      </w:r>
      <w:r w:rsidR="00626EC8" w:rsidRPr="00E03268">
        <w:rPr>
          <w:rFonts w:ascii="Times New Roman" w:hAnsi="Times New Roman"/>
        </w:rPr>
        <w:t xml:space="preserve"> occurring outside of school?  </w:t>
      </w:r>
    </w:p>
    <w:p w14:paraId="58357EC1" w14:textId="77777777" w:rsidR="006E171D" w:rsidRPr="00E03268" w:rsidRDefault="00626EC8" w:rsidP="006E171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E03268">
        <w:rPr>
          <w:rFonts w:ascii="Times New Roman" w:hAnsi="Times New Roman"/>
        </w:rPr>
        <w:t xml:space="preserve">Have </w:t>
      </w:r>
      <w:r w:rsidR="006E171D" w:rsidRPr="00E03268">
        <w:rPr>
          <w:rFonts w:ascii="Times New Roman" w:hAnsi="Times New Roman"/>
        </w:rPr>
        <w:t>students</w:t>
      </w:r>
      <w:r w:rsidRPr="00E03268">
        <w:rPr>
          <w:rFonts w:ascii="Times New Roman" w:hAnsi="Times New Roman"/>
        </w:rPr>
        <w:t xml:space="preserve"> been in attendance while exhibiting symptoms?  </w:t>
      </w:r>
    </w:p>
    <w:p w14:paraId="73284D31" w14:textId="77777777" w:rsidR="006E171D" w:rsidRPr="00E03268" w:rsidRDefault="00626EC8" w:rsidP="006E171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E03268">
        <w:rPr>
          <w:rFonts w:ascii="Times New Roman" w:hAnsi="Times New Roman"/>
        </w:rPr>
        <w:t xml:space="preserve">Can we connect the numbers to an internal transfer?  </w:t>
      </w:r>
    </w:p>
    <w:p w14:paraId="10E628B3" w14:textId="77777777" w:rsidR="006E171D" w:rsidRPr="00E03268" w:rsidRDefault="006E171D" w:rsidP="006E171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E03268">
        <w:rPr>
          <w:rFonts w:ascii="Times New Roman" w:hAnsi="Times New Roman"/>
        </w:rPr>
        <w:t>Are we able to maintain operations with current staffing levels?</w:t>
      </w:r>
    </w:p>
    <w:p w14:paraId="3FC67F87" w14:textId="520DF183" w:rsidR="006E171D" w:rsidRPr="00E03268" w:rsidRDefault="006E171D" w:rsidP="006E171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E03268">
        <w:rPr>
          <w:rFonts w:ascii="Times New Roman" w:hAnsi="Times New Roman"/>
        </w:rPr>
        <w:t>Do we have 30% or higher rate of absenteeism in the school or a grade level due to COVID? (</w:t>
      </w:r>
      <w:r w:rsidR="008B64EB" w:rsidRPr="00E03268">
        <w:rPr>
          <w:rFonts w:ascii="Times New Roman" w:hAnsi="Times New Roman"/>
        </w:rPr>
        <w:t>Includes</w:t>
      </w:r>
      <w:r w:rsidRPr="00E03268">
        <w:rPr>
          <w:rFonts w:ascii="Times New Roman" w:hAnsi="Times New Roman"/>
        </w:rPr>
        <w:t xml:space="preserve"> students </w:t>
      </w:r>
      <w:r w:rsidR="00364270">
        <w:rPr>
          <w:rFonts w:ascii="Times New Roman" w:hAnsi="Times New Roman"/>
        </w:rPr>
        <w:t>who are positive</w:t>
      </w:r>
      <w:r w:rsidRPr="00E03268">
        <w:rPr>
          <w:rFonts w:ascii="Times New Roman" w:hAnsi="Times New Roman"/>
        </w:rPr>
        <w:t xml:space="preserve"> and in quarantine)</w:t>
      </w:r>
    </w:p>
    <w:p w14:paraId="5EF10934" w14:textId="5672C847" w:rsidR="00E03268" w:rsidRPr="00E03268" w:rsidRDefault="00E03268" w:rsidP="006E171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E03268">
        <w:rPr>
          <w:rFonts w:ascii="Times New Roman" w:hAnsi="Times New Roman"/>
        </w:rPr>
        <w:t>Do we have 10% or higher of the student body in isolation simultaneously after testing positive?</w:t>
      </w:r>
    </w:p>
    <w:p w14:paraId="61D0BC2E" w14:textId="4519887D" w:rsidR="00E03268" w:rsidRPr="00E03268" w:rsidRDefault="00364270" w:rsidP="006E171D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E03268">
        <w:rPr>
          <w:rFonts w:ascii="Times New Roman" w:hAnsi="Times New Roman"/>
        </w:rPr>
        <w:t>Do</w:t>
      </w:r>
      <w:r w:rsidR="00E03268" w:rsidRPr="00E03268">
        <w:rPr>
          <w:rFonts w:ascii="Times New Roman" w:hAnsi="Times New Roman"/>
        </w:rPr>
        <w:t xml:space="preserve"> local medical and public health professionals recommend an adaptive pause based on the local healthcare system’s capacity?</w:t>
      </w:r>
    </w:p>
    <w:p w14:paraId="34C5AFBD" w14:textId="36B63947" w:rsidR="00626EC8" w:rsidRPr="00E03268" w:rsidRDefault="00626EC8" w:rsidP="00E03268">
      <w:pPr>
        <w:rPr>
          <w:rFonts w:ascii="Times New Roman" w:hAnsi="Times New Roman"/>
        </w:rPr>
      </w:pPr>
      <w:r w:rsidRPr="00E03268">
        <w:rPr>
          <w:rFonts w:ascii="Times New Roman" w:hAnsi="Times New Roman"/>
        </w:rPr>
        <w:t xml:space="preserve">We monitor our numbers every day to ensure our environments are as safe as possible and continue our layered mitigations.  </w:t>
      </w:r>
      <w:r w:rsidR="00E03268" w:rsidRPr="00E03268">
        <w:rPr>
          <w:rFonts w:ascii="Times New Roman" w:hAnsi="Times New Roman"/>
        </w:rPr>
        <w:t xml:space="preserve">I will </w:t>
      </w:r>
      <w:r w:rsidR="00364270">
        <w:rPr>
          <w:rFonts w:ascii="Times New Roman" w:hAnsi="Times New Roman"/>
        </w:rPr>
        <w:t xml:space="preserve">continue to </w:t>
      </w:r>
      <w:r w:rsidR="00E03268" w:rsidRPr="00E03268">
        <w:rPr>
          <w:rFonts w:ascii="Times New Roman" w:hAnsi="Times New Roman"/>
        </w:rPr>
        <w:t xml:space="preserve">share our numbers with you to keep you informed.  They will change daily as positives and quarantines are identified and people are released to return to school.  </w:t>
      </w:r>
      <w:r w:rsidR="00597F6C" w:rsidRPr="00E03268">
        <w:rPr>
          <w:rFonts w:ascii="Times New Roman" w:hAnsi="Times New Roman"/>
        </w:rPr>
        <w:t xml:space="preserve">Thank you for keeping the nurses informed so we can keep our buildings as safe as possible.  </w:t>
      </w:r>
    </w:p>
    <w:p w14:paraId="0496CAC0" w14:textId="77777777" w:rsidR="00626EC8" w:rsidRDefault="00626EC8" w:rsidP="005322FC"/>
    <w:p w14:paraId="63EC65E8" w14:textId="12D273BE" w:rsidR="00D5056D" w:rsidRPr="001B530A" w:rsidRDefault="001B530A" w:rsidP="005322FC">
      <w:pPr>
        <w:rPr>
          <w:rFonts w:ascii="Times New Roman" w:hAnsi="Times New Roman"/>
          <w:bCs/>
        </w:rPr>
      </w:pPr>
      <w:r w:rsidRPr="001B530A">
        <w:rPr>
          <w:rFonts w:ascii="Times New Roman" w:hAnsi="Times New Roman"/>
          <w:bCs/>
          <w:highlight w:val="yellow"/>
        </w:rPr>
        <w:t xml:space="preserve">There have been questions regarding COVID numbers </w:t>
      </w:r>
      <w:r w:rsidR="00353CD8">
        <w:rPr>
          <w:rFonts w:ascii="Times New Roman" w:hAnsi="Times New Roman"/>
          <w:bCs/>
          <w:highlight w:val="yellow"/>
        </w:rPr>
        <w:t xml:space="preserve">not matching what is </w:t>
      </w:r>
      <w:r w:rsidRPr="001B530A">
        <w:rPr>
          <w:rFonts w:ascii="Times New Roman" w:hAnsi="Times New Roman"/>
          <w:bCs/>
          <w:highlight w:val="yellow"/>
        </w:rPr>
        <w:t>listed on this report and the number of letters sent out during the week letting you know a positive has been identified in a building.</w:t>
      </w:r>
      <w:r w:rsidR="00353CD8">
        <w:rPr>
          <w:rFonts w:ascii="Times New Roman" w:hAnsi="Times New Roman"/>
          <w:bCs/>
          <w:highlight w:val="yellow"/>
        </w:rPr>
        <w:t xml:space="preserve">  These numbers are less likely to match up since the District has adopted the IDPH recommendation of the </w:t>
      </w:r>
      <w:r w:rsidR="008E645D">
        <w:rPr>
          <w:rFonts w:ascii="Times New Roman" w:hAnsi="Times New Roman"/>
          <w:bCs/>
          <w:highlight w:val="yellow"/>
        </w:rPr>
        <w:t>5-day</w:t>
      </w:r>
      <w:r w:rsidR="00353CD8">
        <w:rPr>
          <w:rFonts w:ascii="Times New Roman" w:hAnsi="Times New Roman"/>
          <w:bCs/>
          <w:highlight w:val="yellow"/>
        </w:rPr>
        <w:t xml:space="preserve"> quarantine.  If students are identified as positive </w:t>
      </w:r>
      <w:r w:rsidR="008E645D">
        <w:rPr>
          <w:rFonts w:ascii="Times New Roman" w:hAnsi="Times New Roman"/>
          <w:bCs/>
          <w:highlight w:val="yellow"/>
        </w:rPr>
        <w:t xml:space="preserve">by our nurses </w:t>
      </w:r>
      <w:r w:rsidR="00353CD8">
        <w:rPr>
          <w:rFonts w:ascii="Times New Roman" w:hAnsi="Times New Roman"/>
          <w:bCs/>
          <w:highlight w:val="yellow"/>
        </w:rPr>
        <w:t xml:space="preserve">on Monday, Tuesday, or Wednesday, </w:t>
      </w:r>
      <w:r w:rsidR="008E645D">
        <w:rPr>
          <w:rFonts w:ascii="Times New Roman" w:hAnsi="Times New Roman"/>
          <w:bCs/>
          <w:highlight w:val="yellow"/>
        </w:rPr>
        <w:t xml:space="preserve">or depending on when we receive notification letters from IDPH, they may already be cleared to return to school by the time the report is </w:t>
      </w:r>
      <w:r w:rsidR="008E645D">
        <w:rPr>
          <w:rFonts w:ascii="Times New Roman" w:hAnsi="Times New Roman"/>
          <w:bCs/>
          <w:highlight w:val="yellow"/>
        </w:rPr>
        <w:lastRenderedPageBreak/>
        <w:t>compiled.  The report below reflects numbers of student and staff who are out of school and not cleared to return yet.</w:t>
      </w:r>
      <w:r w:rsidR="00A9090D">
        <w:rPr>
          <w:rFonts w:ascii="Times New Roman" w:hAnsi="Times New Roman"/>
          <w:bCs/>
          <w:highlight w:val="yellow"/>
        </w:rPr>
        <w:t xml:space="preserve">  They may have been positive during the week, but have returned after 5 days and are not counted below due to being back in school.  This number is fluid and reflect</w:t>
      </w:r>
      <w:r w:rsidR="00B700B4">
        <w:rPr>
          <w:rFonts w:ascii="Times New Roman" w:hAnsi="Times New Roman"/>
          <w:bCs/>
          <w:highlight w:val="yellow"/>
        </w:rPr>
        <w:t xml:space="preserve">s </w:t>
      </w:r>
      <w:r w:rsidR="00A9090D">
        <w:rPr>
          <w:rFonts w:ascii="Times New Roman" w:hAnsi="Times New Roman"/>
          <w:bCs/>
          <w:highlight w:val="yellow"/>
        </w:rPr>
        <w:t>those individuals whose return date is after the date I’m compiling the report.</w:t>
      </w:r>
      <w:r w:rsidRPr="001B530A">
        <w:rPr>
          <w:rFonts w:ascii="Times New Roman" w:hAnsi="Times New Roman"/>
          <w:bCs/>
          <w:highlight w:val="yellow"/>
        </w:rPr>
        <w:t xml:space="preserve"> </w:t>
      </w:r>
    </w:p>
    <w:p w14:paraId="6DEDA3F1" w14:textId="77777777" w:rsidR="008B64EB" w:rsidRDefault="008B64EB" w:rsidP="005322FC">
      <w:pPr>
        <w:rPr>
          <w:rFonts w:ascii="Times New Roman" w:hAnsi="Times New Roman"/>
          <w:b/>
          <w:bCs/>
          <w:u w:val="single"/>
        </w:rPr>
      </w:pPr>
    </w:p>
    <w:p w14:paraId="782BFA59" w14:textId="70A7797B" w:rsidR="00077376" w:rsidRPr="00364270" w:rsidRDefault="00803A26" w:rsidP="005322FC">
      <w:pPr>
        <w:rPr>
          <w:rStyle w:val="Hyperlink"/>
          <w:rFonts w:ascii="Times New Roman" w:hAnsi="Times New Roman"/>
          <w:color w:val="auto"/>
          <w:u w:val="none"/>
        </w:rPr>
      </w:pPr>
      <w:r w:rsidRPr="00E03268">
        <w:rPr>
          <w:rFonts w:ascii="Times New Roman" w:hAnsi="Times New Roman"/>
          <w:b/>
          <w:bCs/>
          <w:u w:val="single"/>
        </w:rPr>
        <w:t>Remember to keep your children home if they are sick, for any reason.</w:t>
      </w:r>
      <w:r w:rsidRPr="00E03268">
        <w:rPr>
          <w:rFonts w:ascii="Times New Roman" w:hAnsi="Times New Roman"/>
        </w:rPr>
        <w:t xml:space="preserve">  </w:t>
      </w:r>
      <w:r w:rsidR="009437B6" w:rsidRPr="00E03268">
        <w:rPr>
          <w:rFonts w:ascii="Times New Roman" w:hAnsi="Times New Roman"/>
          <w:b/>
          <w:bCs/>
          <w:u w:val="single"/>
        </w:rPr>
        <w:t>If you take a COVID test at home, please let your building nurse know the results.</w:t>
      </w:r>
      <w:r w:rsidR="009437B6" w:rsidRPr="00E03268">
        <w:rPr>
          <w:rFonts w:ascii="Times New Roman" w:hAnsi="Times New Roman"/>
        </w:rPr>
        <w:t xml:space="preserve">  </w:t>
      </w:r>
      <w:r w:rsidR="001A7C1B" w:rsidRPr="00E03268">
        <w:rPr>
          <w:rFonts w:ascii="Times New Roman" w:hAnsi="Times New Roman"/>
        </w:rPr>
        <w:t xml:space="preserve">If you are </w:t>
      </w:r>
      <w:r w:rsidR="00626EC8" w:rsidRPr="00E03268">
        <w:rPr>
          <w:rFonts w:ascii="Times New Roman" w:hAnsi="Times New Roman"/>
        </w:rPr>
        <w:t>interested</w:t>
      </w:r>
      <w:r w:rsidR="001A7C1B" w:rsidRPr="00E03268">
        <w:rPr>
          <w:rFonts w:ascii="Times New Roman" w:hAnsi="Times New Roman"/>
        </w:rPr>
        <w:t xml:space="preserve">, you can still receive a COVID-19 vaccination.  Click on the link for vaccination information from the Lee County Health Department.  </w:t>
      </w:r>
      <w:hyperlink r:id="rId12" w:history="1">
        <w:r w:rsidR="001A7C1B" w:rsidRPr="00E03268">
          <w:rPr>
            <w:rStyle w:val="Hyperlink"/>
            <w:rFonts w:ascii="Times New Roman" w:hAnsi="Times New Roman"/>
          </w:rPr>
          <w:t>http://www.lchd.com/covid19-vaccinations/</w:t>
        </w:r>
      </w:hyperlink>
      <w:r w:rsidR="00BC7A05" w:rsidRPr="00E03268">
        <w:rPr>
          <w:rStyle w:val="Hyperlink"/>
          <w:rFonts w:ascii="Times New Roman" w:hAnsi="Times New Roman"/>
          <w:u w:val="none"/>
        </w:rPr>
        <w:t xml:space="preserve">  </w:t>
      </w:r>
      <w:r w:rsidR="00077376" w:rsidRPr="00E03268">
        <w:rPr>
          <w:rStyle w:val="Hyperlink"/>
          <w:rFonts w:ascii="Times New Roman" w:hAnsi="Times New Roman"/>
          <w:color w:val="auto"/>
          <w:u w:val="none"/>
        </w:rPr>
        <w:t>Please reach out to your building nurse or medical professional if you have any questions.</w:t>
      </w:r>
    </w:p>
    <w:p w14:paraId="36087C0A" w14:textId="77777777" w:rsidR="00077376" w:rsidRPr="00BC7A05" w:rsidRDefault="00077376" w:rsidP="005322FC"/>
    <w:p w14:paraId="2CE53412" w14:textId="7C1BA020" w:rsidR="00067478" w:rsidRDefault="00067478" w:rsidP="00126341">
      <w:pPr>
        <w:rPr>
          <w:b/>
          <w:bCs/>
          <w:u w:val="single"/>
        </w:rPr>
      </w:pPr>
    </w:p>
    <w:p w14:paraId="0F3B832A" w14:textId="0DEF308D" w:rsidR="00A71345" w:rsidRPr="008B64EB" w:rsidRDefault="0027632F" w:rsidP="008B64EB">
      <w:pPr>
        <w:jc w:val="center"/>
        <w:rPr>
          <w:b/>
          <w:bCs/>
          <w:u w:val="single"/>
        </w:rPr>
      </w:pPr>
      <w:r w:rsidRPr="00376092">
        <w:rPr>
          <w:b/>
          <w:bCs/>
          <w:u w:val="single"/>
        </w:rPr>
        <w:t xml:space="preserve">COVID Data for </w:t>
      </w:r>
      <w:r w:rsidR="007D04EE">
        <w:rPr>
          <w:b/>
          <w:bCs/>
          <w:u w:val="single"/>
        </w:rPr>
        <w:t>Students &amp; Staff Currently Out of School</w:t>
      </w:r>
      <w:r w:rsidRPr="00376092">
        <w:rPr>
          <w:b/>
          <w:bCs/>
          <w:u w:val="single"/>
        </w:rPr>
        <w:t>:</w:t>
      </w:r>
    </w:p>
    <w:p w14:paraId="28E2B392" w14:textId="77777777" w:rsidR="00F07A9D" w:rsidRPr="004325AF" w:rsidRDefault="00F07A9D" w:rsidP="004325AF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1857"/>
        <w:gridCol w:w="1857"/>
        <w:gridCol w:w="1886"/>
        <w:gridCol w:w="1887"/>
      </w:tblGrid>
      <w:tr w:rsidR="0027632F" w14:paraId="14EF78CE" w14:textId="77777777" w:rsidTr="006D4032">
        <w:tc>
          <w:tcPr>
            <w:tcW w:w="9576" w:type="dxa"/>
            <w:gridSpan w:val="5"/>
          </w:tcPr>
          <w:p w14:paraId="34AABBB2" w14:textId="77777777" w:rsidR="0027632F" w:rsidRPr="00376092" w:rsidRDefault="0027632F" w:rsidP="006D4032">
            <w:pPr>
              <w:jc w:val="center"/>
              <w:rPr>
                <w:b/>
                <w:bCs/>
              </w:rPr>
            </w:pPr>
            <w:r w:rsidRPr="00376092">
              <w:rPr>
                <w:b/>
                <w:bCs/>
              </w:rPr>
              <w:t xml:space="preserve">Washington School </w:t>
            </w:r>
            <w:r>
              <w:rPr>
                <w:b/>
                <w:bCs/>
              </w:rPr>
              <w:t>Week’s Averages</w:t>
            </w:r>
          </w:p>
        </w:tc>
      </w:tr>
      <w:tr w:rsidR="0027632F" w14:paraId="464458A4" w14:textId="77777777" w:rsidTr="006D4032">
        <w:tc>
          <w:tcPr>
            <w:tcW w:w="1915" w:type="dxa"/>
          </w:tcPr>
          <w:p w14:paraId="41FA21D8" w14:textId="2194700C" w:rsidR="0027632F" w:rsidRDefault="0027632F" w:rsidP="006D4032"/>
        </w:tc>
        <w:tc>
          <w:tcPr>
            <w:tcW w:w="1915" w:type="dxa"/>
          </w:tcPr>
          <w:p w14:paraId="33F13F59" w14:textId="77777777" w:rsidR="0027632F" w:rsidRDefault="0027632F" w:rsidP="006D4032">
            <w:pPr>
              <w:jc w:val="center"/>
            </w:pPr>
            <w:r>
              <w:t>Positive COVID Cases</w:t>
            </w:r>
          </w:p>
        </w:tc>
        <w:tc>
          <w:tcPr>
            <w:tcW w:w="1915" w:type="dxa"/>
          </w:tcPr>
          <w:p w14:paraId="4918180B" w14:textId="77777777" w:rsidR="0027632F" w:rsidRDefault="0027632F" w:rsidP="006D4032">
            <w:pPr>
              <w:jc w:val="center"/>
            </w:pPr>
            <w:r>
              <w:t>% Positive COVID Cases</w:t>
            </w:r>
          </w:p>
        </w:tc>
        <w:tc>
          <w:tcPr>
            <w:tcW w:w="1915" w:type="dxa"/>
          </w:tcPr>
          <w:p w14:paraId="3C5F2840" w14:textId="77777777" w:rsidR="0027632F" w:rsidRDefault="0027632F" w:rsidP="006D4032">
            <w:pPr>
              <w:jc w:val="center"/>
            </w:pPr>
            <w:r>
              <w:t>Quarantined</w:t>
            </w:r>
          </w:p>
        </w:tc>
        <w:tc>
          <w:tcPr>
            <w:tcW w:w="1916" w:type="dxa"/>
          </w:tcPr>
          <w:p w14:paraId="2997F951" w14:textId="20FD4A18" w:rsidR="0027632F" w:rsidRDefault="0027632F" w:rsidP="006D4032">
            <w:pPr>
              <w:jc w:val="center"/>
            </w:pPr>
            <w:r>
              <w:t>% Quarantined</w:t>
            </w:r>
          </w:p>
        </w:tc>
      </w:tr>
      <w:tr w:rsidR="0027632F" w14:paraId="4C9901A8" w14:textId="77777777" w:rsidTr="006D4032">
        <w:tc>
          <w:tcPr>
            <w:tcW w:w="9576" w:type="dxa"/>
            <w:gridSpan w:val="5"/>
            <w:shd w:val="clear" w:color="auto" w:fill="D9D9D9" w:themeFill="background1" w:themeFillShade="D9"/>
          </w:tcPr>
          <w:p w14:paraId="4709589B" w14:textId="77777777" w:rsidR="0027632F" w:rsidRDefault="0027632F" w:rsidP="006D4032">
            <w:r>
              <w:t>Students</w:t>
            </w:r>
          </w:p>
        </w:tc>
      </w:tr>
      <w:tr w:rsidR="0027632F" w:rsidRPr="00C656D4" w14:paraId="49090255" w14:textId="77777777" w:rsidTr="004D23DF">
        <w:tc>
          <w:tcPr>
            <w:tcW w:w="1915" w:type="dxa"/>
          </w:tcPr>
          <w:p w14:paraId="24E17196" w14:textId="666C16EB" w:rsidR="0027632F" w:rsidRDefault="00BC54E2" w:rsidP="006D4032">
            <w:r>
              <w:t>4</w:t>
            </w:r>
            <w:r w:rsidR="00D2601E">
              <w:t>53</w:t>
            </w:r>
            <w:r w:rsidR="00C656D4">
              <w:t xml:space="preserve"> students</w:t>
            </w:r>
          </w:p>
        </w:tc>
        <w:tc>
          <w:tcPr>
            <w:tcW w:w="1915" w:type="dxa"/>
            <w:shd w:val="clear" w:color="auto" w:fill="00B050"/>
          </w:tcPr>
          <w:p w14:paraId="77CF3C04" w14:textId="7BD12BB5" w:rsidR="0027632F" w:rsidRPr="00D5056D" w:rsidRDefault="004D23DF" w:rsidP="006D4032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0</w:t>
            </w:r>
          </w:p>
        </w:tc>
        <w:tc>
          <w:tcPr>
            <w:tcW w:w="1915" w:type="dxa"/>
            <w:shd w:val="clear" w:color="auto" w:fill="00B050"/>
          </w:tcPr>
          <w:p w14:paraId="643E4BF4" w14:textId="57CF4EBB" w:rsidR="0027632F" w:rsidRPr="00D5056D" w:rsidRDefault="004D23DF" w:rsidP="006D4032">
            <w:pPr>
              <w:jc w:val="center"/>
              <w:rPr>
                <w:highlight w:val="green"/>
              </w:rPr>
            </w:pPr>
            <w:r>
              <w:t>0%</w:t>
            </w:r>
          </w:p>
        </w:tc>
        <w:tc>
          <w:tcPr>
            <w:tcW w:w="1915" w:type="dxa"/>
            <w:shd w:val="clear" w:color="auto" w:fill="00B050"/>
          </w:tcPr>
          <w:p w14:paraId="44F4BC10" w14:textId="3C82E711" w:rsidR="0027632F" w:rsidRPr="00C656D4" w:rsidRDefault="004D23DF" w:rsidP="006D4032">
            <w:pPr>
              <w:jc w:val="center"/>
            </w:pPr>
            <w:r>
              <w:t>6</w:t>
            </w:r>
          </w:p>
        </w:tc>
        <w:tc>
          <w:tcPr>
            <w:tcW w:w="1916" w:type="dxa"/>
            <w:shd w:val="clear" w:color="auto" w:fill="00B050"/>
          </w:tcPr>
          <w:p w14:paraId="7BDF8547" w14:textId="68ADA0A7" w:rsidR="0027632F" w:rsidRPr="00C656D4" w:rsidRDefault="004D23DF" w:rsidP="006D4032">
            <w:pPr>
              <w:jc w:val="center"/>
            </w:pPr>
            <w:r>
              <w:t>1.33%</w:t>
            </w:r>
          </w:p>
        </w:tc>
      </w:tr>
      <w:tr w:rsidR="0027632F" w14:paraId="3CF6AC7F" w14:textId="77777777" w:rsidTr="006D4032">
        <w:tc>
          <w:tcPr>
            <w:tcW w:w="9576" w:type="dxa"/>
            <w:gridSpan w:val="5"/>
            <w:shd w:val="clear" w:color="auto" w:fill="D9D9D9" w:themeFill="background1" w:themeFillShade="D9"/>
          </w:tcPr>
          <w:p w14:paraId="79AB555C" w14:textId="77777777" w:rsidR="0027632F" w:rsidRDefault="0027632F" w:rsidP="006D4032">
            <w:r>
              <w:t>Staff</w:t>
            </w:r>
          </w:p>
        </w:tc>
      </w:tr>
      <w:tr w:rsidR="0027632F" w14:paraId="3824EE2E" w14:textId="77777777" w:rsidTr="006D4032">
        <w:tc>
          <w:tcPr>
            <w:tcW w:w="1915" w:type="dxa"/>
          </w:tcPr>
          <w:p w14:paraId="5E446A90" w14:textId="1B8C0015" w:rsidR="0027632F" w:rsidRDefault="00EF0487" w:rsidP="006D4032">
            <w:r>
              <w:t>59</w:t>
            </w:r>
            <w:r w:rsidR="00C656D4">
              <w:t xml:space="preserve"> staff</w:t>
            </w:r>
          </w:p>
        </w:tc>
        <w:tc>
          <w:tcPr>
            <w:tcW w:w="1915" w:type="dxa"/>
          </w:tcPr>
          <w:p w14:paraId="01B8FBC5" w14:textId="36113AB6" w:rsidR="0027632F" w:rsidRDefault="004D23DF" w:rsidP="006D4032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14:paraId="309F65CC" w14:textId="2AAB124D" w:rsidR="0027632F" w:rsidRDefault="004D23DF" w:rsidP="006D4032">
            <w:pPr>
              <w:jc w:val="center"/>
            </w:pPr>
            <w:r>
              <w:t>0%</w:t>
            </w:r>
          </w:p>
        </w:tc>
        <w:tc>
          <w:tcPr>
            <w:tcW w:w="1915" w:type="dxa"/>
          </w:tcPr>
          <w:p w14:paraId="6E11038C" w14:textId="49051C63" w:rsidR="0027632F" w:rsidRDefault="004D23DF" w:rsidP="006D4032">
            <w:pPr>
              <w:jc w:val="center"/>
            </w:pPr>
            <w:r>
              <w:t>2</w:t>
            </w:r>
          </w:p>
        </w:tc>
        <w:tc>
          <w:tcPr>
            <w:tcW w:w="1916" w:type="dxa"/>
          </w:tcPr>
          <w:p w14:paraId="1DC20ACC" w14:textId="09D9DE10" w:rsidR="0027632F" w:rsidRDefault="004D23DF" w:rsidP="006D4032">
            <w:pPr>
              <w:jc w:val="center"/>
            </w:pPr>
            <w:r>
              <w:t>3.39%</w:t>
            </w:r>
          </w:p>
        </w:tc>
      </w:tr>
      <w:tr w:rsidR="00B84526" w14:paraId="2293B02E" w14:textId="77777777" w:rsidTr="006D4032">
        <w:tc>
          <w:tcPr>
            <w:tcW w:w="1915" w:type="dxa"/>
          </w:tcPr>
          <w:p w14:paraId="5F9DB180" w14:textId="77777777" w:rsidR="00B84526" w:rsidRDefault="00B84526" w:rsidP="006D4032"/>
        </w:tc>
        <w:tc>
          <w:tcPr>
            <w:tcW w:w="1915" w:type="dxa"/>
          </w:tcPr>
          <w:p w14:paraId="3FAF751C" w14:textId="77777777" w:rsidR="00B84526" w:rsidRDefault="00B84526" w:rsidP="006D4032">
            <w:pPr>
              <w:jc w:val="center"/>
            </w:pPr>
          </w:p>
        </w:tc>
        <w:tc>
          <w:tcPr>
            <w:tcW w:w="1915" w:type="dxa"/>
          </w:tcPr>
          <w:p w14:paraId="492C8571" w14:textId="77777777" w:rsidR="00B84526" w:rsidRDefault="00B84526" w:rsidP="006D4032">
            <w:pPr>
              <w:jc w:val="center"/>
            </w:pPr>
          </w:p>
        </w:tc>
        <w:tc>
          <w:tcPr>
            <w:tcW w:w="1915" w:type="dxa"/>
          </w:tcPr>
          <w:p w14:paraId="4C082AD3" w14:textId="77777777" w:rsidR="00B84526" w:rsidRDefault="00B84526" w:rsidP="006D4032">
            <w:pPr>
              <w:jc w:val="center"/>
            </w:pPr>
          </w:p>
        </w:tc>
        <w:tc>
          <w:tcPr>
            <w:tcW w:w="1916" w:type="dxa"/>
          </w:tcPr>
          <w:p w14:paraId="705FB445" w14:textId="77777777" w:rsidR="00B84526" w:rsidRDefault="00B84526" w:rsidP="006D4032">
            <w:pPr>
              <w:jc w:val="center"/>
            </w:pPr>
          </w:p>
        </w:tc>
      </w:tr>
    </w:tbl>
    <w:p w14:paraId="7BD22BC8" w14:textId="77777777" w:rsidR="0027632F" w:rsidRDefault="0027632F" w:rsidP="002763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1857"/>
        <w:gridCol w:w="1857"/>
        <w:gridCol w:w="1886"/>
        <w:gridCol w:w="1887"/>
      </w:tblGrid>
      <w:tr w:rsidR="0027632F" w14:paraId="4EB08373" w14:textId="77777777" w:rsidTr="006D4032">
        <w:tc>
          <w:tcPr>
            <w:tcW w:w="9576" w:type="dxa"/>
            <w:gridSpan w:val="5"/>
          </w:tcPr>
          <w:p w14:paraId="48E68607" w14:textId="77777777" w:rsidR="0027632F" w:rsidRPr="00376092" w:rsidRDefault="0027632F" w:rsidP="006D4032">
            <w:pPr>
              <w:jc w:val="center"/>
              <w:rPr>
                <w:b/>
                <w:bCs/>
              </w:rPr>
            </w:pPr>
            <w:r w:rsidRPr="00376092">
              <w:rPr>
                <w:b/>
                <w:bCs/>
              </w:rPr>
              <w:t>Jefferson School Week’s Averages</w:t>
            </w:r>
          </w:p>
        </w:tc>
      </w:tr>
      <w:tr w:rsidR="0027632F" w14:paraId="5A3982E8" w14:textId="77777777" w:rsidTr="006D4032">
        <w:tc>
          <w:tcPr>
            <w:tcW w:w="1915" w:type="dxa"/>
          </w:tcPr>
          <w:p w14:paraId="64AFA280" w14:textId="77777777" w:rsidR="0027632F" w:rsidRDefault="0027632F" w:rsidP="006D4032"/>
        </w:tc>
        <w:tc>
          <w:tcPr>
            <w:tcW w:w="1915" w:type="dxa"/>
          </w:tcPr>
          <w:p w14:paraId="40F9EC88" w14:textId="77777777" w:rsidR="0027632F" w:rsidRDefault="0027632F" w:rsidP="006D4032">
            <w:pPr>
              <w:jc w:val="center"/>
            </w:pPr>
            <w:r>
              <w:t>Positive COVID Cases</w:t>
            </w:r>
          </w:p>
        </w:tc>
        <w:tc>
          <w:tcPr>
            <w:tcW w:w="1915" w:type="dxa"/>
          </w:tcPr>
          <w:p w14:paraId="4EF3E3B0" w14:textId="77777777" w:rsidR="0027632F" w:rsidRDefault="0027632F" w:rsidP="006D4032">
            <w:pPr>
              <w:jc w:val="center"/>
            </w:pPr>
            <w:r>
              <w:t>% Positive COVID Cases</w:t>
            </w:r>
          </w:p>
        </w:tc>
        <w:tc>
          <w:tcPr>
            <w:tcW w:w="1915" w:type="dxa"/>
          </w:tcPr>
          <w:p w14:paraId="7D72BF4F" w14:textId="77777777" w:rsidR="0027632F" w:rsidRDefault="0027632F" w:rsidP="006D4032">
            <w:pPr>
              <w:jc w:val="center"/>
            </w:pPr>
            <w:r>
              <w:t>Quarantined</w:t>
            </w:r>
          </w:p>
        </w:tc>
        <w:tc>
          <w:tcPr>
            <w:tcW w:w="1916" w:type="dxa"/>
          </w:tcPr>
          <w:p w14:paraId="36223AE0" w14:textId="77777777" w:rsidR="0027632F" w:rsidRDefault="0027632F" w:rsidP="006D4032">
            <w:pPr>
              <w:jc w:val="center"/>
            </w:pPr>
            <w:r>
              <w:t>% Quarantined</w:t>
            </w:r>
          </w:p>
        </w:tc>
      </w:tr>
      <w:tr w:rsidR="0027632F" w14:paraId="5A59E7BF" w14:textId="77777777" w:rsidTr="006D4032">
        <w:tc>
          <w:tcPr>
            <w:tcW w:w="9576" w:type="dxa"/>
            <w:gridSpan w:val="5"/>
            <w:shd w:val="clear" w:color="auto" w:fill="D9D9D9" w:themeFill="background1" w:themeFillShade="D9"/>
          </w:tcPr>
          <w:p w14:paraId="6B5FEED2" w14:textId="77777777" w:rsidR="0027632F" w:rsidRDefault="0027632F" w:rsidP="006D4032">
            <w:r>
              <w:t>Students</w:t>
            </w:r>
          </w:p>
        </w:tc>
      </w:tr>
      <w:tr w:rsidR="0027632F" w14:paraId="62F2678E" w14:textId="77777777" w:rsidTr="006E3E41">
        <w:tc>
          <w:tcPr>
            <w:tcW w:w="1915" w:type="dxa"/>
          </w:tcPr>
          <w:p w14:paraId="461C7529" w14:textId="4048EF7C" w:rsidR="0027632F" w:rsidRDefault="00C656D4" w:rsidP="006D4032">
            <w:r>
              <w:t>3</w:t>
            </w:r>
            <w:r w:rsidR="00BC54E2">
              <w:t>6</w:t>
            </w:r>
            <w:r w:rsidR="00D2601E">
              <w:t>1</w:t>
            </w:r>
            <w:r>
              <w:t xml:space="preserve"> students</w:t>
            </w:r>
          </w:p>
        </w:tc>
        <w:tc>
          <w:tcPr>
            <w:tcW w:w="1915" w:type="dxa"/>
            <w:shd w:val="clear" w:color="auto" w:fill="00B050"/>
          </w:tcPr>
          <w:p w14:paraId="4CC77984" w14:textId="0905DD9D" w:rsidR="0027632F" w:rsidRDefault="006E3E41" w:rsidP="006D4032">
            <w:pPr>
              <w:jc w:val="center"/>
            </w:pPr>
            <w:r>
              <w:t>1</w:t>
            </w:r>
          </w:p>
        </w:tc>
        <w:tc>
          <w:tcPr>
            <w:tcW w:w="1915" w:type="dxa"/>
            <w:shd w:val="clear" w:color="auto" w:fill="00B050"/>
          </w:tcPr>
          <w:p w14:paraId="1B8D8BB5" w14:textId="08AC49B7" w:rsidR="0027632F" w:rsidRDefault="006E3E41" w:rsidP="006D4032">
            <w:pPr>
              <w:jc w:val="center"/>
            </w:pPr>
            <w:r>
              <w:t>.28%</w:t>
            </w:r>
          </w:p>
        </w:tc>
        <w:tc>
          <w:tcPr>
            <w:tcW w:w="1915" w:type="dxa"/>
            <w:shd w:val="clear" w:color="auto" w:fill="00B050"/>
          </w:tcPr>
          <w:p w14:paraId="20354E8F" w14:textId="6541FFEA" w:rsidR="0027632F" w:rsidRDefault="004D23DF" w:rsidP="006D4032">
            <w:pPr>
              <w:jc w:val="center"/>
            </w:pPr>
            <w:r>
              <w:t>3</w:t>
            </w:r>
          </w:p>
        </w:tc>
        <w:tc>
          <w:tcPr>
            <w:tcW w:w="1916" w:type="dxa"/>
            <w:shd w:val="clear" w:color="auto" w:fill="00B050"/>
          </w:tcPr>
          <w:p w14:paraId="38139971" w14:textId="7FF7645F" w:rsidR="0027632F" w:rsidRDefault="004D23DF" w:rsidP="006D4032">
            <w:pPr>
              <w:jc w:val="center"/>
            </w:pPr>
            <w:r>
              <w:t>.83%</w:t>
            </w:r>
          </w:p>
        </w:tc>
      </w:tr>
      <w:tr w:rsidR="0027632F" w14:paraId="0808F4CA" w14:textId="77777777" w:rsidTr="006D4032">
        <w:tc>
          <w:tcPr>
            <w:tcW w:w="9576" w:type="dxa"/>
            <w:gridSpan w:val="5"/>
            <w:shd w:val="clear" w:color="auto" w:fill="D9D9D9" w:themeFill="background1" w:themeFillShade="D9"/>
          </w:tcPr>
          <w:p w14:paraId="087B94D2" w14:textId="77777777" w:rsidR="0027632F" w:rsidRDefault="0027632F" w:rsidP="006D4032">
            <w:r>
              <w:t>Staff</w:t>
            </w:r>
          </w:p>
        </w:tc>
      </w:tr>
      <w:tr w:rsidR="0027632F" w14:paraId="2EC3FCBC" w14:textId="77777777" w:rsidTr="006D4032">
        <w:tc>
          <w:tcPr>
            <w:tcW w:w="1915" w:type="dxa"/>
          </w:tcPr>
          <w:p w14:paraId="5AA39B35" w14:textId="4B10C326" w:rsidR="0027632F" w:rsidRDefault="00C656D4" w:rsidP="006D4032">
            <w:r>
              <w:t>5</w:t>
            </w:r>
            <w:r w:rsidR="00EF0487">
              <w:t>0</w:t>
            </w:r>
            <w:r>
              <w:t xml:space="preserve"> staff</w:t>
            </w:r>
          </w:p>
        </w:tc>
        <w:tc>
          <w:tcPr>
            <w:tcW w:w="1915" w:type="dxa"/>
          </w:tcPr>
          <w:p w14:paraId="51863870" w14:textId="1F981488" w:rsidR="0027632F" w:rsidRDefault="006E3E41" w:rsidP="006D4032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14:paraId="25300804" w14:textId="61A997DE" w:rsidR="0027632F" w:rsidRDefault="006E3E41" w:rsidP="006D4032">
            <w:pPr>
              <w:jc w:val="center"/>
            </w:pPr>
            <w:r>
              <w:t>0%</w:t>
            </w:r>
          </w:p>
        </w:tc>
        <w:tc>
          <w:tcPr>
            <w:tcW w:w="1915" w:type="dxa"/>
          </w:tcPr>
          <w:p w14:paraId="3EB04770" w14:textId="36744BEB" w:rsidR="0027632F" w:rsidRDefault="004D23DF" w:rsidP="006D4032">
            <w:pPr>
              <w:jc w:val="center"/>
            </w:pPr>
            <w:r>
              <w:t>1</w:t>
            </w:r>
          </w:p>
        </w:tc>
        <w:tc>
          <w:tcPr>
            <w:tcW w:w="1916" w:type="dxa"/>
          </w:tcPr>
          <w:p w14:paraId="0BB16031" w14:textId="078E0E02" w:rsidR="0027632F" w:rsidRDefault="004D23DF" w:rsidP="006D4032">
            <w:pPr>
              <w:jc w:val="center"/>
            </w:pPr>
            <w:r>
              <w:t>2%</w:t>
            </w:r>
          </w:p>
        </w:tc>
      </w:tr>
      <w:tr w:rsidR="006E3E41" w14:paraId="4712F2F7" w14:textId="77777777" w:rsidTr="006D4032">
        <w:tc>
          <w:tcPr>
            <w:tcW w:w="1915" w:type="dxa"/>
          </w:tcPr>
          <w:p w14:paraId="3A9450A1" w14:textId="77777777" w:rsidR="006E3E41" w:rsidRDefault="006E3E41" w:rsidP="006D4032"/>
        </w:tc>
        <w:tc>
          <w:tcPr>
            <w:tcW w:w="1915" w:type="dxa"/>
          </w:tcPr>
          <w:p w14:paraId="66E60B13" w14:textId="77777777" w:rsidR="006E3E41" w:rsidRDefault="006E3E41" w:rsidP="006D4032">
            <w:pPr>
              <w:jc w:val="center"/>
            </w:pPr>
          </w:p>
        </w:tc>
        <w:tc>
          <w:tcPr>
            <w:tcW w:w="1915" w:type="dxa"/>
          </w:tcPr>
          <w:p w14:paraId="2243C8E5" w14:textId="77777777" w:rsidR="006E3E41" w:rsidRDefault="006E3E41" w:rsidP="006D4032">
            <w:pPr>
              <w:jc w:val="center"/>
            </w:pPr>
          </w:p>
        </w:tc>
        <w:tc>
          <w:tcPr>
            <w:tcW w:w="1915" w:type="dxa"/>
          </w:tcPr>
          <w:p w14:paraId="1D7ECFBC" w14:textId="77777777" w:rsidR="006E3E41" w:rsidRDefault="006E3E41" w:rsidP="006D4032">
            <w:pPr>
              <w:jc w:val="center"/>
            </w:pPr>
          </w:p>
        </w:tc>
        <w:tc>
          <w:tcPr>
            <w:tcW w:w="1916" w:type="dxa"/>
          </w:tcPr>
          <w:p w14:paraId="24F43145" w14:textId="77777777" w:rsidR="006E3E41" w:rsidRDefault="006E3E41" w:rsidP="006D4032">
            <w:pPr>
              <w:jc w:val="center"/>
            </w:pPr>
          </w:p>
        </w:tc>
      </w:tr>
    </w:tbl>
    <w:p w14:paraId="1636798A" w14:textId="77777777" w:rsidR="00D55200" w:rsidRDefault="00D55200" w:rsidP="002763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1857"/>
        <w:gridCol w:w="1857"/>
        <w:gridCol w:w="1886"/>
        <w:gridCol w:w="1887"/>
      </w:tblGrid>
      <w:tr w:rsidR="0027632F" w14:paraId="0FCA4B3C" w14:textId="77777777" w:rsidTr="006D4032">
        <w:tc>
          <w:tcPr>
            <w:tcW w:w="9576" w:type="dxa"/>
            <w:gridSpan w:val="5"/>
          </w:tcPr>
          <w:p w14:paraId="7D6B1324" w14:textId="77777777" w:rsidR="0027632F" w:rsidRPr="00376092" w:rsidRDefault="0027632F" w:rsidP="006D4032">
            <w:pPr>
              <w:jc w:val="center"/>
              <w:rPr>
                <w:b/>
                <w:bCs/>
              </w:rPr>
            </w:pPr>
            <w:r w:rsidRPr="00376092">
              <w:rPr>
                <w:b/>
                <w:bCs/>
              </w:rPr>
              <w:t>Madison School Week’s Averages</w:t>
            </w:r>
          </w:p>
        </w:tc>
      </w:tr>
      <w:tr w:rsidR="00B47F92" w14:paraId="1510D947" w14:textId="77777777" w:rsidTr="006D4032">
        <w:tc>
          <w:tcPr>
            <w:tcW w:w="9576" w:type="dxa"/>
            <w:gridSpan w:val="5"/>
          </w:tcPr>
          <w:p w14:paraId="0DC33690" w14:textId="77777777" w:rsidR="00B47F92" w:rsidRPr="00376092" w:rsidRDefault="00B47F92" w:rsidP="006D4032">
            <w:pPr>
              <w:jc w:val="center"/>
              <w:rPr>
                <w:b/>
                <w:bCs/>
              </w:rPr>
            </w:pPr>
          </w:p>
        </w:tc>
      </w:tr>
      <w:tr w:rsidR="0027632F" w14:paraId="233ABC19" w14:textId="77777777" w:rsidTr="006D4032">
        <w:tc>
          <w:tcPr>
            <w:tcW w:w="1915" w:type="dxa"/>
          </w:tcPr>
          <w:p w14:paraId="5EB4F9B6" w14:textId="77777777" w:rsidR="0027632F" w:rsidRDefault="0027632F" w:rsidP="006D4032"/>
        </w:tc>
        <w:tc>
          <w:tcPr>
            <w:tcW w:w="1915" w:type="dxa"/>
          </w:tcPr>
          <w:p w14:paraId="5FDCAECE" w14:textId="77777777" w:rsidR="0027632F" w:rsidRDefault="0027632F" w:rsidP="006D4032">
            <w:pPr>
              <w:jc w:val="center"/>
            </w:pPr>
            <w:r>
              <w:t>Positive COVID Cases</w:t>
            </w:r>
          </w:p>
        </w:tc>
        <w:tc>
          <w:tcPr>
            <w:tcW w:w="1915" w:type="dxa"/>
          </w:tcPr>
          <w:p w14:paraId="302B000F" w14:textId="77777777" w:rsidR="0027632F" w:rsidRDefault="0027632F" w:rsidP="006D4032">
            <w:pPr>
              <w:jc w:val="center"/>
            </w:pPr>
            <w:r>
              <w:t>% Positive COVID Cases</w:t>
            </w:r>
          </w:p>
        </w:tc>
        <w:tc>
          <w:tcPr>
            <w:tcW w:w="1915" w:type="dxa"/>
          </w:tcPr>
          <w:p w14:paraId="7CAE1683" w14:textId="77777777" w:rsidR="0027632F" w:rsidRDefault="0027632F" w:rsidP="006D4032">
            <w:pPr>
              <w:jc w:val="center"/>
            </w:pPr>
            <w:r>
              <w:t>Quarantined</w:t>
            </w:r>
          </w:p>
        </w:tc>
        <w:tc>
          <w:tcPr>
            <w:tcW w:w="1916" w:type="dxa"/>
          </w:tcPr>
          <w:p w14:paraId="3DA2A257" w14:textId="77777777" w:rsidR="0027632F" w:rsidRDefault="0027632F" w:rsidP="006D4032">
            <w:pPr>
              <w:jc w:val="center"/>
            </w:pPr>
            <w:r>
              <w:t>% Quarantined</w:t>
            </w:r>
          </w:p>
        </w:tc>
      </w:tr>
      <w:tr w:rsidR="0027632F" w14:paraId="2DEB035A" w14:textId="77777777" w:rsidTr="006D4032">
        <w:tc>
          <w:tcPr>
            <w:tcW w:w="9576" w:type="dxa"/>
            <w:gridSpan w:val="5"/>
            <w:shd w:val="clear" w:color="auto" w:fill="D9D9D9" w:themeFill="background1" w:themeFillShade="D9"/>
          </w:tcPr>
          <w:p w14:paraId="1F4ED26B" w14:textId="77777777" w:rsidR="0027632F" w:rsidRDefault="0027632F" w:rsidP="006D4032">
            <w:r>
              <w:t>Students</w:t>
            </w:r>
          </w:p>
        </w:tc>
      </w:tr>
      <w:tr w:rsidR="0027632F" w14:paraId="19EDF0E9" w14:textId="77777777" w:rsidTr="004D23DF">
        <w:tc>
          <w:tcPr>
            <w:tcW w:w="1915" w:type="dxa"/>
          </w:tcPr>
          <w:p w14:paraId="2BEC5B2E" w14:textId="44ACBBBB" w:rsidR="0027632F" w:rsidRDefault="00C656D4" w:rsidP="006D4032">
            <w:r>
              <w:t>3</w:t>
            </w:r>
            <w:r w:rsidR="00BC54E2">
              <w:t>7</w:t>
            </w:r>
            <w:r w:rsidR="00D2601E">
              <w:t>0</w:t>
            </w:r>
            <w:r>
              <w:t xml:space="preserve"> students</w:t>
            </w:r>
          </w:p>
        </w:tc>
        <w:tc>
          <w:tcPr>
            <w:tcW w:w="1915" w:type="dxa"/>
            <w:shd w:val="clear" w:color="auto" w:fill="00B050"/>
          </w:tcPr>
          <w:p w14:paraId="2572B221" w14:textId="20477C90" w:rsidR="0027632F" w:rsidRDefault="004D23DF" w:rsidP="006D4032">
            <w:pPr>
              <w:jc w:val="center"/>
            </w:pPr>
            <w:r>
              <w:t>1</w:t>
            </w:r>
          </w:p>
        </w:tc>
        <w:tc>
          <w:tcPr>
            <w:tcW w:w="1915" w:type="dxa"/>
            <w:shd w:val="clear" w:color="auto" w:fill="00B050"/>
          </w:tcPr>
          <w:p w14:paraId="3C285B3A" w14:textId="54DC19AD" w:rsidR="00B86B36" w:rsidRDefault="004D23DF" w:rsidP="00B86B36">
            <w:pPr>
              <w:jc w:val="center"/>
            </w:pPr>
            <w:r>
              <w:t>.27%</w:t>
            </w:r>
          </w:p>
        </w:tc>
        <w:tc>
          <w:tcPr>
            <w:tcW w:w="1915" w:type="dxa"/>
            <w:shd w:val="clear" w:color="auto" w:fill="00B050"/>
          </w:tcPr>
          <w:p w14:paraId="7340A598" w14:textId="3D21CBFE" w:rsidR="0027632F" w:rsidRDefault="006E3E41" w:rsidP="006D4032">
            <w:pPr>
              <w:jc w:val="center"/>
            </w:pPr>
            <w:r>
              <w:t>0</w:t>
            </w:r>
          </w:p>
        </w:tc>
        <w:tc>
          <w:tcPr>
            <w:tcW w:w="1916" w:type="dxa"/>
            <w:shd w:val="clear" w:color="auto" w:fill="00B050"/>
          </w:tcPr>
          <w:p w14:paraId="121DBD25" w14:textId="4DC53C72" w:rsidR="0027632F" w:rsidRDefault="006E3E41" w:rsidP="006D4032">
            <w:pPr>
              <w:jc w:val="center"/>
            </w:pPr>
            <w:r>
              <w:t>0%</w:t>
            </w:r>
          </w:p>
        </w:tc>
      </w:tr>
      <w:tr w:rsidR="0027632F" w14:paraId="262EC644" w14:textId="77777777" w:rsidTr="006D4032">
        <w:tc>
          <w:tcPr>
            <w:tcW w:w="9576" w:type="dxa"/>
            <w:gridSpan w:val="5"/>
            <w:shd w:val="clear" w:color="auto" w:fill="D9D9D9" w:themeFill="background1" w:themeFillShade="D9"/>
          </w:tcPr>
          <w:p w14:paraId="583FE486" w14:textId="77777777" w:rsidR="0027632F" w:rsidRDefault="0027632F" w:rsidP="006D4032">
            <w:r>
              <w:t>Staff</w:t>
            </w:r>
          </w:p>
        </w:tc>
      </w:tr>
      <w:tr w:rsidR="0027632F" w14:paraId="7CE2EF3B" w14:textId="77777777" w:rsidTr="006D4032">
        <w:tc>
          <w:tcPr>
            <w:tcW w:w="1915" w:type="dxa"/>
          </w:tcPr>
          <w:p w14:paraId="6B78F385" w14:textId="7CC13B56" w:rsidR="0027632F" w:rsidRDefault="00C656D4" w:rsidP="006D4032">
            <w:r>
              <w:t>4</w:t>
            </w:r>
            <w:r w:rsidR="00EF0487">
              <w:t>7</w:t>
            </w:r>
            <w:r>
              <w:t xml:space="preserve"> staff</w:t>
            </w:r>
          </w:p>
        </w:tc>
        <w:tc>
          <w:tcPr>
            <w:tcW w:w="1915" w:type="dxa"/>
          </w:tcPr>
          <w:p w14:paraId="1A2326D6" w14:textId="2D91257B" w:rsidR="0027632F" w:rsidRDefault="004D23DF" w:rsidP="006D4032">
            <w:pPr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51959A69" w14:textId="57F50FD1" w:rsidR="0027632F" w:rsidRDefault="004D23DF" w:rsidP="006D4032">
            <w:pPr>
              <w:jc w:val="center"/>
            </w:pPr>
            <w:r>
              <w:t>2.13%</w:t>
            </w:r>
          </w:p>
        </w:tc>
        <w:tc>
          <w:tcPr>
            <w:tcW w:w="1915" w:type="dxa"/>
          </w:tcPr>
          <w:p w14:paraId="73519099" w14:textId="645B764B" w:rsidR="0027632F" w:rsidRDefault="00132FC0" w:rsidP="006D4032">
            <w:pPr>
              <w:jc w:val="center"/>
            </w:pPr>
            <w:r>
              <w:t>0</w:t>
            </w:r>
          </w:p>
        </w:tc>
        <w:tc>
          <w:tcPr>
            <w:tcW w:w="1916" w:type="dxa"/>
          </w:tcPr>
          <w:p w14:paraId="1B253159" w14:textId="5AC6999E" w:rsidR="0027632F" w:rsidRDefault="00132FC0" w:rsidP="006D4032">
            <w:pPr>
              <w:jc w:val="center"/>
            </w:pPr>
            <w:r>
              <w:t>0%</w:t>
            </w:r>
          </w:p>
        </w:tc>
      </w:tr>
    </w:tbl>
    <w:p w14:paraId="2900AAB6" w14:textId="19707F0E" w:rsidR="0027632F" w:rsidRDefault="0027632F" w:rsidP="0027632F"/>
    <w:p w14:paraId="0BC6ED51" w14:textId="698AFCDD" w:rsidR="00871CB7" w:rsidRDefault="00871CB7" w:rsidP="0027632F"/>
    <w:p w14:paraId="14138C38" w14:textId="4CF70354" w:rsidR="00871CB7" w:rsidRDefault="00871CB7" w:rsidP="0027632F"/>
    <w:p w14:paraId="3B479631" w14:textId="4459A620" w:rsidR="00871CB7" w:rsidRDefault="00871CB7" w:rsidP="0027632F"/>
    <w:p w14:paraId="3E46E8AD" w14:textId="41590087" w:rsidR="00871CB7" w:rsidRDefault="00871CB7" w:rsidP="0027632F"/>
    <w:p w14:paraId="0E76000E" w14:textId="5FECD7B9" w:rsidR="00871CB7" w:rsidRDefault="00871CB7" w:rsidP="0027632F"/>
    <w:p w14:paraId="1C1CCEB8" w14:textId="18331BA6" w:rsidR="00871CB7" w:rsidRDefault="00871CB7" w:rsidP="0027632F"/>
    <w:p w14:paraId="7BB8689F" w14:textId="77777777" w:rsidR="00871CB7" w:rsidRDefault="00871CB7" w:rsidP="002763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1857"/>
        <w:gridCol w:w="1857"/>
        <w:gridCol w:w="1886"/>
        <w:gridCol w:w="1887"/>
      </w:tblGrid>
      <w:tr w:rsidR="0027632F" w14:paraId="723847BE" w14:textId="77777777" w:rsidTr="006D4032">
        <w:tc>
          <w:tcPr>
            <w:tcW w:w="9576" w:type="dxa"/>
            <w:gridSpan w:val="5"/>
          </w:tcPr>
          <w:p w14:paraId="19A1E0C3" w14:textId="77777777" w:rsidR="0027632F" w:rsidRPr="00376092" w:rsidRDefault="0027632F" w:rsidP="006D4032">
            <w:pPr>
              <w:jc w:val="center"/>
              <w:rPr>
                <w:b/>
                <w:bCs/>
              </w:rPr>
            </w:pPr>
            <w:r w:rsidRPr="00376092">
              <w:rPr>
                <w:b/>
                <w:bCs/>
              </w:rPr>
              <w:lastRenderedPageBreak/>
              <w:t xml:space="preserve">Reagan Middle School Week’s Averages </w:t>
            </w:r>
          </w:p>
        </w:tc>
      </w:tr>
      <w:tr w:rsidR="0027632F" w14:paraId="7964AA4D" w14:textId="77777777" w:rsidTr="006D4032">
        <w:tc>
          <w:tcPr>
            <w:tcW w:w="1915" w:type="dxa"/>
          </w:tcPr>
          <w:p w14:paraId="742538FC" w14:textId="77777777" w:rsidR="0027632F" w:rsidRDefault="0027632F" w:rsidP="006D4032"/>
        </w:tc>
        <w:tc>
          <w:tcPr>
            <w:tcW w:w="1915" w:type="dxa"/>
          </w:tcPr>
          <w:p w14:paraId="53080A37" w14:textId="77777777" w:rsidR="0027632F" w:rsidRDefault="0027632F" w:rsidP="006D4032">
            <w:pPr>
              <w:jc w:val="center"/>
            </w:pPr>
            <w:r>
              <w:t>Positive COVID Cases</w:t>
            </w:r>
          </w:p>
        </w:tc>
        <w:tc>
          <w:tcPr>
            <w:tcW w:w="1915" w:type="dxa"/>
          </w:tcPr>
          <w:p w14:paraId="767CC4C2" w14:textId="77777777" w:rsidR="0027632F" w:rsidRDefault="0027632F" w:rsidP="006D4032">
            <w:pPr>
              <w:jc w:val="center"/>
            </w:pPr>
            <w:r>
              <w:t>% Positive COVID Cases</w:t>
            </w:r>
          </w:p>
        </w:tc>
        <w:tc>
          <w:tcPr>
            <w:tcW w:w="1915" w:type="dxa"/>
          </w:tcPr>
          <w:p w14:paraId="2B952C15" w14:textId="77777777" w:rsidR="0027632F" w:rsidRDefault="0027632F" w:rsidP="006D4032">
            <w:pPr>
              <w:jc w:val="center"/>
            </w:pPr>
            <w:r>
              <w:t>Quarantined</w:t>
            </w:r>
          </w:p>
        </w:tc>
        <w:tc>
          <w:tcPr>
            <w:tcW w:w="1916" w:type="dxa"/>
          </w:tcPr>
          <w:p w14:paraId="14C8E0CC" w14:textId="77777777" w:rsidR="0027632F" w:rsidRDefault="0027632F" w:rsidP="006D4032">
            <w:pPr>
              <w:jc w:val="center"/>
            </w:pPr>
            <w:r>
              <w:t>% Quarantined</w:t>
            </w:r>
          </w:p>
        </w:tc>
      </w:tr>
      <w:tr w:rsidR="0027632F" w14:paraId="10585CD6" w14:textId="77777777" w:rsidTr="006D4032">
        <w:tc>
          <w:tcPr>
            <w:tcW w:w="9576" w:type="dxa"/>
            <w:gridSpan w:val="5"/>
            <w:shd w:val="clear" w:color="auto" w:fill="D9D9D9" w:themeFill="background1" w:themeFillShade="D9"/>
          </w:tcPr>
          <w:p w14:paraId="25E65505" w14:textId="77777777" w:rsidR="0027632F" w:rsidRDefault="0027632F" w:rsidP="006D4032">
            <w:r>
              <w:t>Students</w:t>
            </w:r>
          </w:p>
        </w:tc>
      </w:tr>
      <w:tr w:rsidR="0027632F" w14:paraId="6724C52D" w14:textId="77777777" w:rsidTr="00871CB7">
        <w:tc>
          <w:tcPr>
            <w:tcW w:w="1915" w:type="dxa"/>
          </w:tcPr>
          <w:p w14:paraId="28EE442D" w14:textId="74CAF638" w:rsidR="0027632F" w:rsidRDefault="00BC54E2" w:rsidP="006D4032">
            <w:r>
              <w:t>5</w:t>
            </w:r>
            <w:r w:rsidR="00D2601E">
              <w:t>70</w:t>
            </w:r>
            <w:r w:rsidR="0044608F">
              <w:t xml:space="preserve"> students</w:t>
            </w:r>
          </w:p>
        </w:tc>
        <w:tc>
          <w:tcPr>
            <w:tcW w:w="1915" w:type="dxa"/>
            <w:shd w:val="clear" w:color="auto" w:fill="FFFF00"/>
          </w:tcPr>
          <w:p w14:paraId="57BA424C" w14:textId="3858113E" w:rsidR="0027632F" w:rsidRDefault="004D23DF" w:rsidP="006D4032">
            <w:pPr>
              <w:jc w:val="center"/>
            </w:pPr>
            <w:r>
              <w:t>4</w:t>
            </w:r>
          </w:p>
        </w:tc>
        <w:tc>
          <w:tcPr>
            <w:tcW w:w="1915" w:type="dxa"/>
            <w:shd w:val="clear" w:color="auto" w:fill="FFFF00"/>
          </w:tcPr>
          <w:p w14:paraId="1F8E302F" w14:textId="69790DB3" w:rsidR="0027632F" w:rsidRDefault="004D23DF" w:rsidP="006D4032">
            <w:pPr>
              <w:jc w:val="center"/>
            </w:pPr>
            <w:r>
              <w:t>.70%</w:t>
            </w:r>
          </w:p>
        </w:tc>
        <w:tc>
          <w:tcPr>
            <w:tcW w:w="1915" w:type="dxa"/>
            <w:shd w:val="clear" w:color="auto" w:fill="00B050"/>
          </w:tcPr>
          <w:p w14:paraId="2CDB34FF" w14:textId="4221F503" w:rsidR="0027632F" w:rsidRDefault="004D23DF" w:rsidP="006D4032">
            <w:pPr>
              <w:jc w:val="center"/>
            </w:pPr>
            <w:r>
              <w:t>2</w:t>
            </w:r>
          </w:p>
        </w:tc>
        <w:tc>
          <w:tcPr>
            <w:tcW w:w="1916" w:type="dxa"/>
            <w:shd w:val="clear" w:color="auto" w:fill="00B050"/>
          </w:tcPr>
          <w:p w14:paraId="708CDDC5" w14:textId="5B74CDDA" w:rsidR="0027632F" w:rsidRDefault="004D23DF" w:rsidP="006D4032">
            <w:pPr>
              <w:jc w:val="center"/>
            </w:pPr>
            <w:r>
              <w:t>3.17%</w:t>
            </w:r>
          </w:p>
        </w:tc>
      </w:tr>
      <w:tr w:rsidR="0027632F" w14:paraId="792B446A" w14:textId="77777777" w:rsidTr="006D4032">
        <w:tc>
          <w:tcPr>
            <w:tcW w:w="9576" w:type="dxa"/>
            <w:gridSpan w:val="5"/>
            <w:shd w:val="clear" w:color="auto" w:fill="D9D9D9" w:themeFill="background1" w:themeFillShade="D9"/>
          </w:tcPr>
          <w:p w14:paraId="08AD3DDF" w14:textId="77777777" w:rsidR="0027632F" w:rsidRDefault="0027632F" w:rsidP="006D4032">
            <w:r>
              <w:t>Staff</w:t>
            </w:r>
          </w:p>
        </w:tc>
      </w:tr>
      <w:tr w:rsidR="0027632F" w14:paraId="3B61A47D" w14:textId="77777777" w:rsidTr="006D4032">
        <w:tc>
          <w:tcPr>
            <w:tcW w:w="1915" w:type="dxa"/>
          </w:tcPr>
          <w:p w14:paraId="0BEC7D63" w14:textId="0877F55F" w:rsidR="0027632F" w:rsidRDefault="00EF0487" w:rsidP="006D4032">
            <w:r>
              <w:t>63</w:t>
            </w:r>
            <w:r w:rsidR="0044608F">
              <w:t xml:space="preserve"> staff</w:t>
            </w:r>
          </w:p>
        </w:tc>
        <w:tc>
          <w:tcPr>
            <w:tcW w:w="1915" w:type="dxa"/>
          </w:tcPr>
          <w:p w14:paraId="0A930194" w14:textId="3CB36ACA" w:rsidR="0027632F" w:rsidRDefault="004D23DF" w:rsidP="006D4032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14:paraId="44B05099" w14:textId="09AA80E7" w:rsidR="0027632F" w:rsidRDefault="004D23DF" w:rsidP="006D4032">
            <w:pPr>
              <w:jc w:val="center"/>
            </w:pPr>
            <w:r>
              <w:t>0%</w:t>
            </w:r>
          </w:p>
        </w:tc>
        <w:tc>
          <w:tcPr>
            <w:tcW w:w="1915" w:type="dxa"/>
          </w:tcPr>
          <w:p w14:paraId="3B10E283" w14:textId="4AD3A9C9" w:rsidR="0027632F" w:rsidRDefault="00735487" w:rsidP="006D4032">
            <w:pPr>
              <w:jc w:val="center"/>
            </w:pPr>
            <w:r>
              <w:t>0</w:t>
            </w:r>
          </w:p>
        </w:tc>
        <w:tc>
          <w:tcPr>
            <w:tcW w:w="1916" w:type="dxa"/>
          </w:tcPr>
          <w:p w14:paraId="11CE88C5" w14:textId="2B37DF06" w:rsidR="0027632F" w:rsidRDefault="00735487" w:rsidP="006D4032">
            <w:pPr>
              <w:jc w:val="center"/>
            </w:pPr>
            <w:r>
              <w:t>0%</w:t>
            </w:r>
          </w:p>
        </w:tc>
      </w:tr>
    </w:tbl>
    <w:p w14:paraId="2BF02EB8" w14:textId="77777777" w:rsidR="0027632F" w:rsidRPr="00376092" w:rsidRDefault="0027632F" w:rsidP="0027632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1857"/>
        <w:gridCol w:w="1857"/>
        <w:gridCol w:w="1886"/>
        <w:gridCol w:w="1887"/>
      </w:tblGrid>
      <w:tr w:rsidR="0027632F" w:rsidRPr="00376092" w14:paraId="1CAD6225" w14:textId="77777777" w:rsidTr="006D4032">
        <w:tc>
          <w:tcPr>
            <w:tcW w:w="9576" w:type="dxa"/>
            <w:gridSpan w:val="5"/>
          </w:tcPr>
          <w:p w14:paraId="383D247B" w14:textId="77777777" w:rsidR="0027632F" w:rsidRPr="00376092" w:rsidRDefault="0027632F" w:rsidP="006D4032">
            <w:pPr>
              <w:jc w:val="center"/>
              <w:rPr>
                <w:b/>
                <w:bCs/>
              </w:rPr>
            </w:pPr>
            <w:r w:rsidRPr="00376092">
              <w:rPr>
                <w:b/>
                <w:bCs/>
              </w:rPr>
              <w:t xml:space="preserve">Dixon High School Week’s Averages </w:t>
            </w:r>
          </w:p>
        </w:tc>
      </w:tr>
      <w:tr w:rsidR="0027632F" w14:paraId="3CA03CEB" w14:textId="77777777" w:rsidTr="006D4032">
        <w:tc>
          <w:tcPr>
            <w:tcW w:w="1915" w:type="dxa"/>
          </w:tcPr>
          <w:p w14:paraId="429AE8A7" w14:textId="77777777" w:rsidR="0027632F" w:rsidRDefault="0027632F" w:rsidP="006D4032"/>
        </w:tc>
        <w:tc>
          <w:tcPr>
            <w:tcW w:w="1915" w:type="dxa"/>
          </w:tcPr>
          <w:p w14:paraId="4BDC25E2" w14:textId="77777777" w:rsidR="0027632F" w:rsidRDefault="0027632F" w:rsidP="006D4032">
            <w:pPr>
              <w:jc w:val="center"/>
            </w:pPr>
            <w:r>
              <w:t>Positive COVID Cases</w:t>
            </w:r>
          </w:p>
        </w:tc>
        <w:tc>
          <w:tcPr>
            <w:tcW w:w="1915" w:type="dxa"/>
          </w:tcPr>
          <w:p w14:paraId="57A6396C" w14:textId="77777777" w:rsidR="0027632F" w:rsidRDefault="0027632F" w:rsidP="006D4032">
            <w:pPr>
              <w:jc w:val="center"/>
            </w:pPr>
            <w:r>
              <w:t>% Positive COVID Cases</w:t>
            </w:r>
          </w:p>
        </w:tc>
        <w:tc>
          <w:tcPr>
            <w:tcW w:w="1915" w:type="dxa"/>
          </w:tcPr>
          <w:p w14:paraId="1EF5DAC6" w14:textId="77777777" w:rsidR="0027632F" w:rsidRDefault="0027632F" w:rsidP="006D4032">
            <w:pPr>
              <w:jc w:val="center"/>
            </w:pPr>
            <w:r>
              <w:t>Quarantined</w:t>
            </w:r>
          </w:p>
        </w:tc>
        <w:tc>
          <w:tcPr>
            <w:tcW w:w="1916" w:type="dxa"/>
          </w:tcPr>
          <w:p w14:paraId="58D69F0B" w14:textId="77777777" w:rsidR="0027632F" w:rsidRDefault="0027632F" w:rsidP="006D4032">
            <w:pPr>
              <w:jc w:val="center"/>
            </w:pPr>
            <w:r>
              <w:t>% Quarantined</w:t>
            </w:r>
          </w:p>
        </w:tc>
      </w:tr>
      <w:tr w:rsidR="0027632F" w14:paraId="44F05789" w14:textId="77777777" w:rsidTr="006D4032">
        <w:tc>
          <w:tcPr>
            <w:tcW w:w="9576" w:type="dxa"/>
            <w:gridSpan w:val="5"/>
            <w:shd w:val="clear" w:color="auto" w:fill="D9D9D9" w:themeFill="background1" w:themeFillShade="D9"/>
          </w:tcPr>
          <w:p w14:paraId="6A4DC7A1" w14:textId="77777777" w:rsidR="0027632F" w:rsidRDefault="0027632F" w:rsidP="006D4032">
            <w:r>
              <w:t>Students</w:t>
            </w:r>
          </w:p>
        </w:tc>
      </w:tr>
      <w:tr w:rsidR="0027632F" w14:paraId="68F472FB" w14:textId="77777777" w:rsidTr="004D23DF">
        <w:tc>
          <w:tcPr>
            <w:tcW w:w="1915" w:type="dxa"/>
          </w:tcPr>
          <w:p w14:paraId="535AF9C3" w14:textId="33D7E542" w:rsidR="0027632F" w:rsidRDefault="00BC54E2" w:rsidP="006D4032">
            <w:r>
              <w:t>83</w:t>
            </w:r>
            <w:r w:rsidR="00D2601E">
              <w:t>7</w:t>
            </w:r>
            <w:r w:rsidR="0044608F">
              <w:t xml:space="preserve"> students</w:t>
            </w:r>
          </w:p>
        </w:tc>
        <w:tc>
          <w:tcPr>
            <w:tcW w:w="1915" w:type="dxa"/>
            <w:shd w:val="clear" w:color="auto" w:fill="00B050"/>
          </w:tcPr>
          <w:p w14:paraId="642C8342" w14:textId="79CA94B0" w:rsidR="0027632F" w:rsidRDefault="004D23DF" w:rsidP="006D4032">
            <w:pPr>
              <w:jc w:val="center"/>
            </w:pPr>
            <w:r>
              <w:t>2</w:t>
            </w:r>
          </w:p>
        </w:tc>
        <w:tc>
          <w:tcPr>
            <w:tcW w:w="1915" w:type="dxa"/>
            <w:shd w:val="clear" w:color="auto" w:fill="00B050"/>
          </w:tcPr>
          <w:p w14:paraId="1AB45784" w14:textId="030DD458" w:rsidR="0027632F" w:rsidRDefault="004D23DF" w:rsidP="006D4032">
            <w:pPr>
              <w:jc w:val="center"/>
            </w:pPr>
            <w:r>
              <w:t>.24%</w:t>
            </w:r>
          </w:p>
        </w:tc>
        <w:tc>
          <w:tcPr>
            <w:tcW w:w="1915" w:type="dxa"/>
            <w:shd w:val="clear" w:color="auto" w:fill="00B050"/>
          </w:tcPr>
          <w:p w14:paraId="138E22F2" w14:textId="116EBF69" w:rsidR="0027632F" w:rsidRDefault="004D23DF" w:rsidP="006D4032">
            <w:pPr>
              <w:jc w:val="center"/>
            </w:pPr>
            <w:r>
              <w:t>1</w:t>
            </w:r>
          </w:p>
        </w:tc>
        <w:tc>
          <w:tcPr>
            <w:tcW w:w="1916" w:type="dxa"/>
            <w:shd w:val="clear" w:color="auto" w:fill="00B050"/>
          </w:tcPr>
          <w:p w14:paraId="4EDF5609" w14:textId="4E7838C0" w:rsidR="0027632F" w:rsidRDefault="004D23DF" w:rsidP="006D4032">
            <w:pPr>
              <w:jc w:val="center"/>
            </w:pPr>
            <w:r>
              <w:t>.12%</w:t>
            </w:r>
          </w:p>
        </w:tc>
      </w:tr>
      <w:tr w:rsidR="0027632F" w14:paraId="6A075F1F" w14:textId="77777777" w:rsidTr="006D4032">
        <w:tc>
          <w:tcPr>
            <w:tcW w:w="9576" w:type="dxa"/>
            <w:gridSpan w:val="5"/>
            <w:shd w:val="clear" w:color="auto" w:fill="D9D9D9" w:themeFill="background1" w:themeFillShade="D9"/>
          </w:tcPr>
          <w:p w14:paraId="04EBED9D" w14:textId="77777777" w:rsidR="0027632F" w:rsidRDefault="0027632F" w:rsidP="006D4032">
            <w:r>
              <w:t>Staff</w:t>
            </w:r>
          </w:p>
        </w:tc>
      </w:tr>
      <w:tr w:rsidR="0027632F" w14:paraId="4703F7FB" w14:textId="77777777" w:rsidTr="006D4032">
        <w:tc>
          <w:tcPr>
            <w:tcW w:w="1915" w:type="dxa"/>
          </w:tcPr>
          <w:p w14:paraId="37D92638" w14:textId="747A6C19" w:rsidR="0027632F" w:rsidRDefault="0044608F" w:rsidP="006D4032">
            <w:r>
              <w:t>7</w:t>
            </w:r>
            <w:r w:rsidR="00EF0487">
              <w:t>9</w:t>
            </w:r>
            <w:r>
              <w:t xml:space="preserve"> staff</w:t>
            </w:r>
          </w:p>
        </w:tc>
        <w:tc>
          <w:tcPr>
            <w:tcW w:w="1915" w:type="dxa"/>
          </w:tcPr>
          <w:p w14:paraId="209BF2C9" w14:textId="45B40747" w:rsidR="0027632F" w:rsidRDefault="006E3E41" w:rsidP="006D4032">
            <w:pPr>
              <w:jc w:val="center"/>
            </w:pPr>
            <w:r>
              <w:t>0</w:t>
            </w:r>
          </w:p>
        </w:tc>
        <w:tc>
          <w:tcPr>
            <w:tcW w:w="1915" w:type="dxa"/>
          </w:tcPr>
          <w:p w14:paraId="19BDC497" w14:textId="06AAE4D1" w:rsidR="0027632F" w:rsidRDefault="006E3E41" w:rsidP="006D4032">
            <w:pPr>
              <w:jc w:val="center"/>
            </w:pPr>
            <w:r>
              <w:t>0%</w:t>
            </w:r>
          </w:p>
        </w:tc>
        <w:tc>
          <w:tcPr>
            <w:tcW w:w="1915" w:type="dxa"/>
          </w:tcPr>
          <w:p w14:paraId="202B97D8" w14:textId="230672A3" w:rsidR="0027632F" w:rsidRDefault="004D23DF" w:rsidP="006D4032">
            <w:pPr>
              <w:jc w:val="center"/>
            </w:pPr>
            <w:r>
              <w:t>0</w:t>
            </w:r>
          </w:p>
        </w:tc>
        <w:tc>
          <w:tcPr>
            <w:tcW w:w="1916" w:type="dxa"/>
          </w:tcPr>
          <w:p w14:paraId="436CFBC8" w14:textId="4558C08E" w:rsidR="0027632F" w:rsidRDefault="004D23DF" w:rsidP="006D4032">
            <w:pPr>
              <w:jc w:val="center"/>
            </w:pPr>
            <w:r>
              <w:t>0%</w:t>
            </w:r>
          </w:p>
        </w:tc>
      </w:tr>
    </w:tbl>
    <w:p w14:paraId="7747C780" w14:textId="77777777" w:rsidR="00364270" w:rsidRDefault="00364270" w:rsidP="0027632F">
      <w:pPr>
        <w:rPr>
          <w:b/>
          <w:bCs/>
        </w:rPr>
      </w:pPr>
    </w:p>
    <w:p w14:paraId="5B267DCF" w14:textId="77777777" w:rsidR="00364270" w:rsidRDefault="00364270" w:rsidP="0027632F">
      <w:pPr>
        <w:rPr>
          <w:b/>
          <w:bCs/>
        </w:rPr>
      </w:pPr>
    </w:p>
    <w:p w14:paraId="70E6F479" w14:textId="17BD7B0E" w:rsidR="0027632F" w:rsidRPr="00D26068" w:rsidRDefault="0027632F" w:rsidP="0027632F">
      <w:pPr>
        <w:rPr>
          <w:rFonts w:ascii="Times New Roman" w:hAnsi="Times New Roman"/>
          <w:b/>
          <w:bCs/>
          <w:sz w:val="26"/>
          <w:szCs w:val="26"/>
        </w:rPr>
      </w:pPr>
      <w:r w:rsidRPr="00D26068">
        <w:rPr>
          <w:rFonts w:ascii="Times New Roman" w:hAnsi="Times New Roman"/>
          <w:b/>
          <w:bCs/>
          <w:sz w:val="26"/>
          <w:szCs w:val="26"/>
        </w:rPr>
        <w:t>Community-Wide Virus Outbreak:</w:t>
      </w:r>
    </w:p>
    <w:p w14:paraId="673DB17A" w14:textId="77777777" w:rsidR="0027632F" w:rsidRPr="00E03268" w:rsidRDefault="0027632F" w:rsidP="0027632F">
      <w:pPr>
        <w:rPr>
          <w:rFonts w:ascii="Times New Roman" w:hAnsi="Times New Roman"/>
        </w:rPr>
      </w:pPr>
      <w:r w:rsidRPr="00E03268">
        <w:rPr>
          <w:rFonts w:ascii="Times New Roman" w:hAnsi="Times New Roman"/>
        </w:rPr>
        <w:t xml:space="preserve">Additionally, Dixon Public Schools will look at the following County Level Metrics as a baseline for making decisions on our learning model in collaboration with the Lee County Health Department. </w:t>
      </w:r>
    </w:p>
    <w:p w14:paraId="44CE8856" w14:textId="77777777" w:rsidR="0027632F" w:rsidRPr="00E03268" w:rsidRDefault="0027632F" w:rsidP="0027632F">
      <w:pPr>
        <w:pStyle w:val="ListParagraph"/>
        <w:numPr>
          <w:ilvl w:val="0"/>
          <w:numId w:val="7"/>
        </w:numPr>
        <w:spacing w:after="200"/>
        <w:rPr>
          <w:rFonts w:ascii="Times New Roman" w:hAnsi="Times New Roman"/>
        </w:rPr>
      </w:pPr>
      <w:r w:rsidRPr="00E03268">
        <w:rPr>
          <w:rFonts w:ascii="Times New Roman" w:hAnsi="Times New Roman"/>
        </w:rPr>
        <w:t>Positivity rate over 8%</w:t>
      </w:r>
    </w:p>
    <w:p w14:paraId="42511E1D" w14:textId="77777777" w:rsidR="0027632F" w:rsidRPr="00E03268" w:rsidRDefault="0027632F" w:rsidP="0027632F">
      <w:pPr>
        <w:pStyle w:val="ListParagraph"/>
        <w:numPr>
          <w:ilvl w:val="0"/>
          <w:numId w:val="7"/>
        </w:numPr>
        <w:spacing w:after="200"/>
        <w:rPr>
          <w:rFonts w:ascii="Times New Roman" w:hAnsi="Times New Roman"/>
        </w:rPr>
      </w:pPr>
      <w:r w:rsidRPr="00E03268">
        <w:rPr>
          <w:rFonts w:ascii="Times New Roman" w:hAnsi="Times New Roman"/>
        </w:rPr>
        <w:t>New cases per 100,000 – Target – less than 50 per 100,000</w:t>
      </w:r>
    </w:p>
    <w:p w14:paraId="3CFD1454" w14:textId="77777777" w:rsidR="0027632F" w:rsidRPr="00E03268" w:rsidRDefault="0027632F" w:rsidP="0027632F">
      <w:pPr>
        <w:pStyle w:val="ListParagraph"/>
        <w:numPr>
          <w:ilvl w:val="0"/>
          <w:numId w:val="7"/>
        </w:numPr>
        <w:spacing w:after="200"/>
        <w:rPr>
          <w:rFonts w:ascii="Times New Roman" w:hAnsi="Times New Roman"/>
        </w:rPr>
      </w:pPr>
      <w:r w:rsidRPr="00E03268">
        <w:rPr>
          <w:rFonts w:ascii="Times New Roman" w:hAnsi="Times New Roman"/>
        </w:rPr>
        <w:t xml:space="preserve">ICU bed availability – Target – at least 20% available </w:t>
      </w:r>
    </w:p>
    <w:p w14:paraId="5401B388" w14:textId="77777777" w:rsidR="0027632F" w:rsidRPr="00E03268" w:rsidRDefault="0027632F" w:rsidP="0027632F">
      <w:pPr>
        <w:pStyle w:val="ListParagraph"/>
        <w:numPr>
          <w:ilvl w:val="0"/>
          <w:numId w:val="7"/>
        </w:numPr>
        <w:spacing w:after="200"/>
        <w:rPr>
          <w:rFonts w:ascii="Times New Roman" w:hAnsi="Times New Roman"/>
        </w:rPr>
      </w:pPr>
      <w:r w:rsidRPr="00E03268">
        <w:rPr>
          <w:rFonts w:ascii="Times New Roman" w:hAnsi="Times New Roman"/>
        </w:rPr>
        <w:t>Number of CLI (COVID Like Illness) admissions – Target – decreasing or stable on our side</w:t>
      </w:r>
    </w:p>
    <w:p w14:paraId="60513A27" w14:textId="165CD1BB" w:rsidR="0027632F" w:rsidRDefault="0027632F" w:rsidP="0027632F">
      <w:pPr>
        <w:rPr>
          <w:rFonts w:ascii="Times New Roman" w:hAnsi="Times New Roman"/>
        </w:rPr>
      </w:pPr>
      <w:r w:rsidRPr="00E03268">
        <w:rPr>
          <w:rFonts w:ascii="Times New Roman" w:hAnsi="Times New Roman"/>
        </w:rPr>
        <w:t xml:space="preserve">We consult with the LCHD on our County Level Metrics. We will consider going remote when any three of the four </w:t>
      </w:r>
      <w:r w:rsidR="00E94B50">
        <w:rPr>
          <w:rFonts w:ascii="Times New Roman" w:hAnsi="Times New Roman"/>
        </w:rPr>
        <w:t>in the</w:t>
      </w:r>
      <w:r w:rsidRPr="00E03268">
        <w:rPr>
          <w:rFonts w:ascii="Times New Roman" w:hAnsi="Times New Roman"/>
        </w:rPr>
        <w:t xml:space="preserve"> warning level. We would stay in remote learning until we come out of warning or see improvement in mitigation efforts and a declining trend in the specific metrics identified as warning. Parents will be notified if there is a concern of an imminent closing and moving to remote learning. </w:t>
      </w:r>
    </w:p>
    <w:p w14:paraId="328689C7" w14:textId="6E6073C1" w:rsidR="004325AF" w:rsidRDefault="004325AF" w:rsidP="0027632F">
      <w:pPr>
        <w:rPr>
          <w:rFonts w:ascii="Times New Roman" w:hAnsi="Times New Roman"/>
        </w:rPr>
      </w:pPr>
    </w:p>
    <w:p w14:paraId="05459280" w14:textId="79CF71C2" w:rsidR="004325AF" w:rsidRDefault="004325AF" w:rsidP="002763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utilize both County and School Metrics.  The weekly numbers can be found at the following links: </w:t>
      </w:r>
    </w:p>
    <w:p w14:paraId="264C1B09" w14:textId="020DC7F2" w:rsidR="004325AF" w:rsidRDefault="00AF666B" w:rsidP="002763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County &amp; </w:t>
      </w:r>
      <w:r w:rsidR="004325AF">
        <w:rPr>
          <w:rFonts w:ascii="Times New Roman" w:hAnsi="Times New Roman"/>
        </w:rPr>
        <w:t xml:space="preserve">School Level Metrics:  </w:t>
      </w:r>
      <w:hyperlink r:id="rId13" w:history="1">
        <w:r w:rsidRPr="00AF666B">
          <w:rPr>
            <w:rStyle w:val="Hyperlink"/>
            <w:rFonts w:ascii="Times New Roman" w:hAnsi="Times New Roman"/>
          </w:rPr>
          <w:t>https://dph.illinois.gov/covid19/data/countymetrics/countyschool.html?county=Lee</w:t>
        </w:r>
      </w:hyperlink>
    </w:p>
    <w:p w14:paraId="6EC41D23" w14:textId="6A16222D" w:rsidR="004325AF" w:rsidRPr="00E03268" w:rsidRDefault="004325AF" w:rsidP="002763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County Level Metrics:  </w:t>
      </w:r>
      <w:hyperlink r:id="rId14" w:history="1">
        <w:r w:rsidRPr="004325AF">
          <w:rPr>
            <w:rStyle w:val="Hyperlink"/>
            <w:rFonts w:ascii="Times New Roman" w:hAnsi="Times New Roman"/>
          </w:rPr>
          <w:t>https://dph.illinois.gov/covid19/data/countymetrics.html?county=Lee</w:t>
        </w:r>
      </w:hyperlink>
    </w:p>
    <w:p w14:paraId="1B672652" w14:textId="77777777" w:rsidR="00BC54E2" w:rsidRDefault="00BC54E2" w:rsidP="0027632F"/>
    <w:p w14:paraId="2730CA87" w14:textId="7E809E07" w:rsidR="0027632F" w:rsidRPr="00B46709" w:rsidRDefault="00E02110" w:rsidP="0027632F">
      <w:pPr>
        <w:rPr>
          <w:rFonts w:ascii="Times New Roman" w:hAnsi="Times New Roman"/>
          <w:u w:val="single"/>
        </w:rPr>
      </w:pPr>
      <w:r w:rsidRPr="00B46709">
        <w:rPr>
          <w:rFonts w:ascii="Times New Roman" w:hAnsi="Times New Roman"/>
          <w:b/>
          <w:bCs/>
          <w:u w:val="single"/>
        </w:rPr>
        <w:t>Lee County</w:t>
      </w:r>
      <w:r w:rsidR="00380239" w:rsidRPr="00B46709">
        <w:rPr>
          <w:rFonts w:ascii="Times New Roman" w:hAnsi="Times New Roman"/>
          <w:b/>
          <w:bCs/>
          <w:u w:val="single"/>
        </w:rPr>
        <w:t>/School</w:t>
      </w:r>
      <w:r w:rsidR="0027632F" w:rsidRPr="00B46709">
        <w:rPr>
          <w:rFonts w:ascii="Times New Roman" w:hAnsi="Times New Roman"/>
          <w:b/>
          <w:bCs/>
          <w:u w:val="single"/>
        </w:rPr>
        <w:t xml:space="preserve"> Metrics</w:t>
      </w:r>
      <w:r w:rsidR="00BC54E2" w:rsidRPr="00B46709">
        <w:rPr>
          <w:rFonts w:ascii="Times New Roman" w:hAnsi="Times New Roman"/>
          <w:b/>
          <w:bCs/>
          <w:u w:val="single"/>
        </w:rPr>
        <w:t xml:space="preserve">: </w:t>
      </w:r>
      <w:r w:rsidR="00D004C1">
        <w:rPr>
          <w:rFonts w:ascii="Times New Roman" w:hAnsi="Times New Roman"/>
          <w:b/>
          <w:bCs/>
          <w:u w:val="single"/>
        </w:rPr>
        <w:t>February 6 – February 12, 2022</w:t>
      </w:r>
    </w:p>
    <w:p w14:paraId="15D66726" w14:textId="4A8798D2" w:rsidR="0027632F" w:rsidRPr="00B46709" w:rsidRDefault="0027632F" w:rsidP="0027632F">
      <w:pPr>
        <w:pStyle w:val="ListParagraph"/>
        <w:numPr>
          <w:ilvl w:val="0"/>
          <w:numId w:val="8"/>
        </w:numPr>
        <w:spacing w:after="200"/>
        <w:rPr>
          <w:rFonts w:ascii="Times New Roman" w:hAnsi="Times New Roman"/>
        </w:rPr>
      </w:pPr>
      <w:r w:rsidRPr="00B46709">
        <w:rPr>
          <w:rFonts w:ascii="Times New Roman" w:hAnsi="Times New Roman"/>
        </w:rPr>
        <w:t xml:space="preserve">Positivity rate = </w:t>
      </w:r>
      <w:r w:rsidR="00F84E12">
        <w:rPr>
          <w:rFonts w:ascii="Times New Roman" w:hAnsi="Times New Roman"/>
        </w:rPr>
        <w:t>3.8</w:t>
      </w:r>
      <w:r w:rsidR="00B47F92" w:rsidRPr="00B46709">
        <w:rPr>
          <w:rFonts w:ascii="Times New Roman" w:hAnsi="Times New Roman"/>
        </w:rPr>
        <w:t>%</w:t>
      </w:r>
      <w:r w:rsidRPr="00B46709">
        <w:rPr>
          <w:rFonts w:ascii="Times New Roman" w:hAnsi="Times New Roman"/>
        </w:rPr>
        <w:t xml:space="preserve"> </w:t>
      </w:r>
      <w:r w:rsidR="00AE7EEC" w:rsidRPr="00B46709">
        <w:rPr>
          <w:rFonts w:ascii="Times New Roman" w:hAnsi="Times New Roman"/>
        </w:rPr>
        <w:t>(</w:t>
      </w:r>
      <w:r w:rsidR="00B46709">
        <w:rPr>
          <w:rFonts w:ascii="Times New Roman" w:hAnsi="Times New Roman"/>
        </w:rPr>
        <w:t>M</w:t>
      </w:r>
      <w:r w:rsidR="00F84E12">
        <w:rPr>
          <w:rFonts w:ascii="Times New Roman" w:hAnsi="Times New Roman"/>
        </w:rPr>
        <w:t>inimal</w:t>
      </w:r>
      <w:r w:rsidR="00776067" w:rsidRPr="00B46709">
        <w:rPr>
          <w:rFonts w:ascii="Times New Roman" w:hAnsi="Times New Roman"/>
        </w:rPr>
        <w:t>)</w:t>
      </w:r>
    </w:p>
    <w:p w14:paraId="5D3FE8EE" w14:textId="1F268082" w:rsidR="0027632F" w:rsidRPr="00B46709" w:rsidRDefault="0027632F" w:rsidP="0027632F">
      <w:pPr>
        <w:pStyle w:val="ListParagraph"/>
        <w:numPr>
          <w:ilvl w:val="0"/>
          <w:numId w:val="8"/>
        </w:numPr>
        <w:spacing w:after="200"/>
        <w:rPr>
          <w:rFonts w:ascii="Times New Roman" w:hAnsi="Times New Roman"/>
        </w:rPr>
      </w:pPr>
      <w:r w:rsidRPr="00B46709">
        <w:rPr>
          <w:rFonts w:ascii="Times New Roman" w:hAnsi="Times New Roman"/>
        </w:rPr>
        <w:t xml:space="preserve">New cases per 100,000 = </w:t>
      </w:r>
      <w:r w:rsidR="00F84E12">
        <w:rPr>
          <w:rFonts w:ascii="Times New Roman" w:hAnsi="Times New Roman"/>
        </w:rPr>
        <w:t>412</w:t>
      </w:r>
      <w:r w:rsidR="00AF666B" w:rsidRPr="00B46709">
        <w:rPr>
          <w:rFonts w:ascii="Times New Roman" w:hAnsi="Times New Roman"/>
        </w:rPr>
        <w:t xml:space="preserve"> </w:t>
      </w:r>
      <w:r w:rsidRPr="00B46709">
        <w:rPr>
          <w:rFonts w:ascii="Times New Roman" w:hAnsi="Times New Roman"/>
        </w:rPr>
        <w:t>(</w:t>
      </w:r>
      <w:r w:rsidR="00A45C5D" w:rsidRPr="00B46709">
        <w:rPr>
          <w:rFonts w:ascii="Times New Roman" w:hAnsi="Times New Roman"/>
        </w:rPr>
        <w:t>Substantial</w:t>
      </w:r>
      <w:r w:rsidR="004B4E70" w:rsidRPr="00B46709">
        <w:rPr>
          <w:rFonts w:ascii="Times New Roman" w:hAnsi="Times New Roman"/>
        </w:rPr>
        <w:t>)</w:t>
      </w:r>
    </w:p>
    <w:p w14:paraId="77D7E147" w14:textId="1FD9D062" w:rsidR="0027632F" w:rsidRPr="00B46709" w:rsidRDefault="0027632F" w:rsidP="0027632F">
      <w:pPr>
        <w:pStyle w:val="ListParagraph"/>
        <w:numPr>
          <w:ilvl w:val="0"/>
          <w:numId w:val="8"/>
        </w:numPr>
        <w:spacing w:after="200"/>
        <w:rPr>
          <w:rFonts w:ascii="Times New Roman" w:hAnsi="Times New Roman"/>
        </w:rPr>
      </w:pPr>
      <w:r w:rsidRPr="00B46709">
        <w:rPr>
          <w:rFonts w:ascii="Times New Roman" w:hAnsi="Times New Roman"/>
        </w:rPr>
        <w:t xml:space="preserve">ICU bed availability = </w:t>
      </w:r>
      <w:r w:rsidR="00B46709">
        <w:rPr>
          <w:rFonts w:ascii="Times New Roman" w:hAnsi="Times New Roman"/>
        </w:rPr>
        <w:t>12.</w:t>
      </w:r>
      <w:r w:rsidR="00F84E12">
        <w:rPr>
          <w:rFonts w:ascii="Times New Roman" w:hAnsi="Times New Roman"/>
        </w:rPr>
        <w:t>2</w:t>
      </w:r>
      <w:r w:rsidR="00C518BE" w:rsidRPr="00B46709">
        <w:rPr>
          <w:rFonts w:ascii="Times New Roman" w:hAnsi="Times New Roman"/>
        </w:rPr>
        <w:t>%</w:t>
      </w:r>
      <w:r w:rsidRPr="00B46709">
        <w:rPr>
          <w:rFonts w:ascii="Times New Roman" w:hAnsi="Times New Roman"/>
        </w:rPr>
        <w:t xml:space="preserve"> (</w:t>
      </w:r>
      <w:r w:rsidR="00E83EAB" w:rsidRPr="00B46709">
        <w:rPr>
          <w:rFonts w:ascii="Times New Roman" w:hAnsi="Times New Roman"/>
        </w:rPr>
        <w:t>Warning</w:t>
      </w:r>
      <w:r w:rsidRPr="00B46709">
        <w:rPr>
          <w:rFonts w:ascii="Times New Roman" w:hAnsi="Times New Roman"/>
        </w:rPr>
        <w:t>)</w:t>
      </w:r>
    </w:p>
    <w:p w14:paraId="2FEA536F" w14:textId="3C95E241" w:rsidR="0027632F" w:rsidRPr="00B46709" w:rsidRDefault="0027632F" w:rsidP="0027632F">
      <w:pPr>
        <w:pStyle w:val="ListParagraph"/>
        <w:numPr>
          <w:ilvl w:val="0"/>
          <w:numId w:val="8"/>
        </w:numPr>
        <w:spacing w:after="200"/>
        <w:rPr>
          <w:rFonts w:ascii="Times New Roman" w:hAnsi="Times New Roman"/>
        </w:rPr>
      </w:pPr>
      <w:r w:rsidRPr="00B46709">
        <w:rPr>
          <w:rFonts w:ascii="Times New Roman" w:hAnsi="Times New Roman"/>
        </w:rPr>
        <w:t xml:space="preserve">Number of CLI admissions = </w:t>
      </w:r>
      <w:r w:rsidR="00F84E12">
        <w:rPr>
          <w:rFonts w:ascii="Times New Roman" w:hAnsi="Times New Roman"/>
        </w:rPr>
        <w:t>5</w:t>
      </w:r>
      <w:r w:rsidR="00AF666B" w:rsidRPr="00B46709">
        <w:rPr>
          <w:rFonts w:ascii="Times New Roman" w:hAnsi="Times New Roman"/>
        </w:rPr>
        <w:t xml:space="preserve"> </w:t>
      </w:r>
      <w:r w:rsidRPr="00B46709">
        <w:rPr>
          <w:rFonts w:ascii="Times New Roman" w:hAnsi="Times New Roman"/>
        </w:rPr>
        <w:t>(</w:t>
      </w:r>
      <w:r w:rsidR="00776067" w:rsidRPr="00B46709">
        <w:rPr>
          <w:rFonts w:ascii="Times New Roman" w:hAnsi="Times New Roman"/>
        </w:rPr>
        <w:t>Target)</w:t>
      </w:r>
    </w:p>
    <w:p w14:paraId="3072A718" w14:textId="23FD4809" w:rsidR="004104EE" w:rsidRPr="00B46709" w:rsidRDefault="00B47F92" w:rsidP="004104EE">
      <w:pPr>
        <w:pStyle w:val="ListParagraph"/>
        <w:numPr>
          <w:ilvl w:val="0"/>
          <w:numId w:val="8"/>
        </w:numPr>
        <w:spacing w:after="200"/>
        <w:rPr>
          <w:rFonts w:ascii="Times New Roman" w:hAnsi="Times New Roman"/>
        </w:rPr>
      </w:pPr>
      <w:r w:rsidRPr="00B46709">
        <w:rPr>
          <w:rFonts w:ascii="Times New Roman" w:hAnsi="Times New Roman"/>
        </w:rPr>
        <w:t xml:space="preserve">Deaths = </w:t>
      </w:r>
      <w:r w:rsidR="00F84E12">
        <w:rPr>
          <w:rFonts w:ascii="Times New Roman" w:hAnsi="Times New Roman"/>
        </w:rPr>
        <w:t>3</w:t>
      </w:r>
    </w:p>
    <w:p w14:paraId="4A50B660" w14:textId="2C14CB9C" w:rsidR="003A5CBC" w:rsidRPr="00B46709" w:rsidRDefault="003A5CBC" w:rsidP="004104EE">
      <w:pPr>
        <w:pStyle w:val="ListParagraph"/>
        <w:numPr>
          <w:ilvl w:val="0"/>
          <w:numId w:val="8"/>
        </w:numPr>
        <w:spacing w:after="200"/>
        <w:rPr>
          <w:rFonts w:ascii="Times New Roman" w:hAnsi="Times New Roman"/>
        </w:rPr>
      </w:pPr>
      <w:r w:rsidRPr="00B46709">
        <w:rPr>
          <w:rFonts w:ascii="Times New Roman" w:hAnsi="Times New Roman"/>
        </w:rPr>
        <w:t xml:space="preserve">Youth Increases – </w:t>
      </w:r>
      <w:r w:rsidR="00F84E12">
        <w:rPr>
          <w:rFonts w:ascii="Times New Roman" w:hAnsi="Times New Roman"/>
        </w:rPr>
        <w:t>34</w:t>
      </w:r>
      <w:r w:rsidR="00C518BE" w:rsidRPr="00B46709">
        <w:rPr>
          <w:rFonts w:ascii="Times New Roman" w:hAnsi="Times New Roman"/>
        </w:rPr>
        <w:t xml:space="preserve"> </w:t>
      </w:r>
      <w:r w:rsidRPr="00B46709">
        <w:rPr>
          <w:rFonts w:ascii="Times New Roman" w:hAnsi="Times New Roman"/>
        </w:rPr>
        <w:t>(</w:t>
      </w:r>
      <w:r w:rsidR="00E94B50" w:rsidRPr="00B46709">
        <w:rPr>
          <w:rFonts w:ascii="Times New Roman" w:hAnsi="Times New Roman"/>
        </w:rPr>
        <w:t>Minimal</w:t>
      </w:r>
      <w:r w:rsidR="00CE726E" w:rsidRPr="00B46709">
        <w:rPr>
          <w:rFonts w:ascii="Times New Roman" w:hAnsi="Times New Roman"/>
        </w:rPr>
        <w:t>)</w:t>
      </w:r>
    </w:p>
    <w:p w14:paraId="3B0FD6BD" w14:textId="13B1A176" w:rsidR="00364270" w:rsidRDefault="00364270" w:rsidP="00364270">
      <w:pPr>
        <w:spacing w:after="200"/>
      </w:pPr>
    </w:p>
    <w:p w14:paraId="7055291C" w14:textId="77777777" w:rsidR="00364270" w:rsidRPr="0085285E" w:rsidRDefault="00364270" w:rsidP="00364270">
      <w:pPr>
        <w:spacing w:after="200"/>
      </w:pPr>
    </w:p>
    <w:sectPr w:rsidR="00364270" w:rsidRPr="0085285E" w:rsidSect="00BA40EF">
      <w:footerReference w:type="default" r:id="rId15"/>
      <w:footnotePr>
        <w:numRestart w:val="eachPage"/>
      </w:footnotePr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5F58C" w14:textId="77777777" w:rsidR="00ED6594" w:rsidRDefault="00ED6594" w:rsidP="00956BD8">
      <w:r>
        <w:separator/>
      </w:r>
    </w:p>
  </w:endnote>
  <w:endnote w:type="continuationSeparator" w:id="0">
    <w:p w14:paraId="50C37060" w14:textId="77777777" w:rsidR="00ED6594" w:rsidRDefault="00ED6594" w:rsidP="0095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F9F6" w14:textId="77777777" w:rsidR="00956BD8" w:rsidRDefault="00956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B80BB" w14:textId="77777777" w:rsidR="00ED6594" w:rsidRDefault="00ED6594" w:rsidP="00956BD8">
      <w:r>
        <w:separator/>
      </w:r>
    </w:p>
  </w:footnote>
  <w:footnote w:type="continuationSeparator" w:id="0">
    <w:p w14:paraId="563256A4" w14:textId="77777777" w:rsidR="00ED6594" w:rsidRDefault="00ED6594" w:rsidP="00956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7F9"/>
    <w:multiLevelType w:val="multilevel"/>
    <w:tmpl w:val="AA08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E6610"/>
    <w:multiLevelType w:val="hybridMultilevel"/>
    <w:tmpl w:val="1AEE9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1FBD"/>
    <w:multiLevelType w:val="hybridMultilevel"/>
    <w:tmpl w:val="92A0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C4E85"/>
    <w:multiLevelType w:val="hybridMultilevel"/>
    <w:tmpl w:val="2216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46527"/>
    <w:multiLevelType w:val="hybridMultilevel"/>
    <w:tmpl w:val="030E6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00293"/>
    <w:multiLevelType w:val="multilevel"/>
    <w:tmpl w:val="BA8E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9668DA"/>
    <w:multiLevelType w:val="hybridMultilevel"/>
    <w:tmpl w:val="38C2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63655"/>
    <w:multiLevelType w:val="hybridMultilevel"/>
    <w:tmpl w:val="1B32D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F36D52"/>
    <w:multiLevelType w:val="hybridMultilevel"/>
    <w:tmpl w:val="3E9E8D6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50"/>
    <w:rsid w:val="00000559"/>
    <w:rsid w:val="00004932"/>
    <w:rsid w:val="00004A50"/>
    <w:rsid w:val="000103F8"/>
    <w:rsid w:val="00015B7A"/>
    <w:rsid w:val="00033571"/>
    <w:rsid w:val="00044B09"/>
    <w:rsid w:val="0004667F"/>
    <w:rsid w:val="000623C4"/>
    <w:rsid w:val="00062DFF"/>
    <w:rsid w:val="00063576"/>
    <w:rsid w:val="00067478"/>
    <w:rsid w:val="00077376"/>
    <w:rsid w:val="000839C4"/>
    <w:rsid w:val="00086BA9"/>
    <w:rsid w:val="000902EE"/>
    <w:rsid w:val="000A30D1"/>
    <w:rsid w:val="000B123E"/>
    <w:rsid w:val="000B5147"/>
    <w:rsid w:val="000C13F4"/>
    <w:rsid w:val="000D031F"/>
    <w:rsid w:val="000E1614"/>
    <w:rsid w:val="000E4612"/>
    <w:rsid w:val="000F7A78"/>
    <w:rsid w:val="001069ED"/>
    <w:rsid w:val="00122CC4"/>
    <w:rsid w:val="00126341"/>
    <w:rsid w:val="00132FC0"/>
    <w:rsid w:val="001410F1"/>
    <w:rsid w:val="00141A16"/>
    <w:rsid w:val="00146BC1"/>
    <w:rsid w:val="001519EB"/>
    <w:rsid w:val="0015227B"/>
    <w:rsid w:val="001524CF"/>
    <w:rsid w:val="00154AEB"/>
    <w:rsid w:val="00166A20"/>
    <w:rsid w:val="00182FAD"/>
    <w:rsid w:val="0018314F"/>
    <w:rsid w:val="001932C2"/>
    <w:rsid w:val="001A690F"/>
    <w:rsid w:val="001A7C1B"/>
    <w:rsid w:val="001B131C"/>
    <w:rsid w:val="001B530A"/>
    <w:rsid w:val="001C1586"/>
    <w:rsid w:val="001D4958"/>
    <w:rsid w:val="001E55B3"/>
    <w:rsid w:val="001F21B3"/>
    <w:rsid w:val="001F5105"/>
    <w:rsid w:val="001F6F70"/>
    <w:rsid w:val="00206323"/>
    <w:rsid w:val="00211DDC"/>
    <w:rsid w:val="002206E1"/>
    <w:rsid w:val="0022433A"/>
    <w:rsid w:val="002244B0"/>
    <w:rsid w:val="002326F0"/>
    <w:rsid w:val="002370B7"/>
    <w:rsid w:val="00252EE0"/>
    <w:rsid w:val="00261C44"/>
    <w:rsid w:val="0027632F"/>
    <w:rsid w:val="00276602"/>
    <w:rsid w:val="002950CD"/>
    <w:rsid w:val="00296CE1"/>
    <w:rsid w:val="002A11FB"/>
    <w:rsid w:val="002A4AC6"/>
    <w:rsid w:val="002C5398"/>
    <w:rsid w:val="002D3B59"/>
    <w:rsid w:val="002D5EF9"/>
    <w:rsid w:val="002E6028"/>
    <w:rsid w:val="002E611C"/>
    <w:rsid w:val="002F110F"/>
    <w:rsid w:val="002F50BE"/>
    <w:rsid w:val="00307890"/>
    <w:rsid w:val="00317182"/>
    <w:rsid w:val="0033162C"/>
    <w:rsid w:val="00333A87"/>
    <w:rsid w:val="00333FC5"/>
    <w:rsid w:val="00334491"/>
    <w:rsid w:val="00347E94"/>
    <w:rsid w:val="0035124C"/>
    <w:rsid w:val="00353CD8"/>
    <w:rsid w:val="003568CC"/>
    <w:rsid w:val="00356C25"/>
    <w:rsid w:val="00360AAD"/>
    <w:rsid w:val="00364270"/>
    <w:rsid w:val="00366BC8"/>
    <w:rsid w:val="003775BA"/>
    <w:rsid w:val="0037794F"/>
    <w:rsid w:val="00380239"/>
    <w:rsid w:val="00380E3C"/>
    <w:rsid w:val="00387241"/>
    <w:rsid w:val="00390ACA"/>
    <w:rsid w:val="00393966"/>
    <w:rsid w:val="00393F8C"/>
    <w:rsid w:val="00395CA3"/>
    <w:rsid w:val="003A5CBC"/>
    <w:rsid w:val="003B128B"/>
    <w:rsid w:val="003B4D82"/>
    <w:rsid w:val="003B797E"/>
    <w:rsid w:val="003E4348"/>
    <w:rsid w:val="003E51C6"/>
    <w:rsid w:val="0040062E"/>
    <w:rsid w:val="004049F6"/>
    <w:rsid w:val="004104EE"/>
    <w:rsid w:val="00417024"/>
    <w:rsid w:val="00421794"/>
    <w:rsid w:val="004325AF"/>
    <w:rsid w:val="00434B6C"/>
    <w:rsid w:val="00434C6C"/>
    <w:rsid w:val="00437220"/>
    <w:rsid w:val="0044608F"/>
    <w:rsid w:val="004611E5"/>
    <w:rsid w:val="00462D80"/>
    <w:rsid w:val="00474D45"/>
    <w:rsid w:val="0049016C"/>
    <w:rsid w:val="004949F7"/>
    <w:rsid w:val="004A0F70"/>
    <w:rsid w:val="004A28D2"/>
    <w:rsid w:val="004A3A30"/>
    <w:rsid w:val="004B0A50"/>
    <w:rsid w:val="004B4E70"/>
    <w:rsid w:val="004B5A7B"/>
    <w:rsid w:val="004D0CED"/>
    <w:rsid w:val="004D1055"/>
    <w:rsid w:val="004D23DF"/>
    <w:rsid w:val="004D4A17"/>
    <w:rsid w:val="004F382D"/>
    <w:rsid w:val="004F43D7"/>
    <w:rsid w:val="004F799E"/>
    <w:rsid w:val="00500E82"/>
    <w:rsid w:val="00506394"/>
    <w:rsid w:val="00507041"/>
    <w:rsid w:val="00516E32"/>
    <w:rsid w:val="0052332E"/>
    <w:rsid w:val="00525A42"/>
    <w:rsid w:val="00525ED2"/>
    <w:rsid w:val="00526489"/>
    <w:rsid w:val="00527483"/>
    <w:rsid w:val="005322FC"/>
    <w:rsid w:val="00554D14"/>
    <w:rsid w:val="00554F41"/>
    <w:rsid w:val="005557DD"/>
    <w:rsid w:val="005566AE"/>
    <w:rsid w:val="00563366"/>
    <w:rsid w:val="00564C4C"/>
    <w:rsid w:val="00567CCD"/>
    <w:rsid w:val="005734E3"/>
    <w:rsid w:val="00576F04"/>
    <w:rsid w:val="00581F0A"/>
    <w:rsid w:val="00582025"/>
    <w:rsid w:val="00597F6C"/>
    <w:rsid w:val="005B2C6D"/>
    <w:rsid w:val="005B5FD8"/>
    <w:rsid w:val="005C37CF"/>
    <w:rsid w:val="005D0137"/>
    <w:rsid w:val="005D6011"/>
    <w:rsid w:val="005D7F85"/>
    <w:rsid w:val="005E0338"/>
    <w:rsid w:val="005F14F8"/>
    <w:rsid w:val="005F3ABA"/>
    <w:rsid w:val="005F6EA6"/>
    <w:rsid w:val="00603975"/>
    <w:rsid w:val="00611B11"/>
    <w:rsid w:val="006207DF"/>
    <w:rsid w:val="00626EC8"/>
    <w:rsid w:val="00627568"/>
    <w:rsid w:val="00636FAA"/>
    <w:rsid w:val="00637E1A"/>
    <w:rsid w:val="00653CF1"/>
    <w:rsid w:val="006570F3"/>
    <w:rsid w:val="006661FE"/>
    <w:rsid w:val="00672DEA"/>
    <w:rsid w:val="00673CE1"/>
    <w:rsid w:val="00683681"/>
    <w:rsid w:val="006861E5"/>
    <w:rsid w:val="0069559F"/>
    <w:rsid w:val="006D01A2"/>
    <w:rsid w:val="006D6789"/>
    <w:rsid w:val="006E171D"/>
    <w:rsid w:val="006E1954"/>
    <w:rsid w:val="006E3E41"/>
    <w:rsid w:val="006F2FF3"/>
    <w:rsid w:val="006F3CFC"/>
    <w:rsid w:val="006F5A1E"/>
    <w:rsid w:val="006F6DF2"/>
    <w:rsid w:val="007225DC"/>
    <w:rsid w:val="0073439E"/>
    <w:rsid w:val="00735487"/>
    <w:rsid w:val="00747004"/>
    <w:rsid w:val="00753B3F"/>
    <w:rsid w:val="00776067"/>
    <w:rsid w:val="00776F29"/>
    <w:rsid w:val="007813CC"/>
    <w:rsid w:val="00782A88"/>
    <w:rsid w:val="007928FC"/>
    <w:rsid w:val="007933CD"/>
    <w:rsid w:val="007967F2"/>
    <w:rsid w:val="007C5DD2"/>
    <w:rsid w:val="007D04EE"/>
    <w:rsid w:val="007E1E9B"/>
    <w:rsid w:val="007E5314"/>
    <w:rsid w:val="007E5667"/>
    <w:rsid w:val="007E5FC6"/>
    <w:rsid w:val="007F08FD"/>
    <w:rsid w:val="00803A26"/>
    <w:rsid w:val="008153A8"/>
    <w:rsid w:val="00836462"/>
    <w:rsid w:val="008438C3"/>
    <w:rsid w:val="0084523F"/>
    <w:rsid w:val="0085285E"/>
    <w:rsid w:val="008528E0"/>
    <w:rsid w:val="00871CB7"/>
    <w:rsid w:val="008771C2"/>
    <w:rsid w:val="00883ED3"/>
    <w:rsid w:val="008976D6"/>
    <w:rsid w:val="008B50FD"/>
    <w:rsid w:val="008B64EB"/>
    <w:rsid w:val="008E0639"/>
    <w:rsid w:val="008E1825"/>
    <w:rsid w:val="008E645D"/>
    <w:rsid w:val="00904BC7"/>
    <w:rsid w:val="009123DF"/>
    <w:rsid w:val="00930554"/>
    <w:rsid w:val="009307EB"/>
    <w:rsid w:val="009437B6"/>
    <w:rsid w:val="0094564C"/>
    <w:rsid w:val="00952EA8"/>
    <w:rsid w:val="00956BD8"/>
    <w:rsid w:val="009635B3"/>
    <w:rsid w:val="00976820"/>
    <w:rsid w:val="009820D4"/>
    <w:rsid w:val="0098772F"/>
    <w:rsid w:val="00990B60"/>
    <w:rsid w:val="009940E8"/>
    <w:rsid w:val="009B0245"/>
    <w:rsid w:val="009B110E"/>
    <w:rsid w:val="009B166E"/>
    <w:rsid w:val="009B1B94"/>
    <w:rsid w:val="009B28DE"/>
    <w:rsid w:val="009B2D99"/>
    <w:rsid w:val="009D5733"/>
    <w:rsid w:val="009D5DAB"/>
    <w:rsid w:val="009E7322"/>
    <w:rsid w:val="009F3705"/>
    <w:rsid w:val="00A06B7E"/>
    <w:rsid w:val="00A15148"/>
    <w:rsid w:val="00A17C85"/>
    <w:rsid w:val="00A27A21"/>
    <w:rsid w:val="00A3086E"/>
    <w:rsid w:val="00A32F3D"/>
    <w:rsid w:val="00A4121F"/>
    <w:rsid w:val="00A454AD"/>
    <w:rsid w:val="00A45C5D"/>
    <w:rsid w:val="00A460F3"/>
    <w:rsid w:val="00A50496"/>
    <w:rsid w:val="00A55534"/>
    <w:rsid w:val="00A579DD"/>
    <w:rsid w:val="00A60279"/>
    <w:rsid w:val="00A71345"/>
    <w:rsid w:val="00A75E73"/>
    <w:rsid w:val="00A86884"/>
    <w:rsid w:val="00A9090D"/>
    <w:rsid w:val="00A91937"/>
    <w:rsid w:val="00AA23D7"/>
    <w:rsid w:val="00AB1A62"/>
    <w:rsid w:val="00AB580B"/>
    <w:rsid w:val="00AC0B02"/>
    <w:rsid w:val="00AD3DB8"/>
    <w:rsid w:val="00AE06F9"/>
    <w:rsid w:val="00AE7EEC"/>
    <w:rsid w:val="00AF666B"/>
    <w:rsid w:val="00AF696E"/>
    <w:rsid w:val="00B005F2"/>
    <w:rsid w:val="00B115A7"/>
    <w:rsid w:val="00B21E6A"/>
    <w:rsid w:val="00B4605C"/>
    <w:rsid w:val="00B46709"/>
    <w:rsid w:val="00B47F92"/>
    <w:rsid w:val="00B52AE5"/>
    <w:rsid w:val="00B56CA6"/>
    <w:rsid w:val="00B61C49"/>
    <w:rsid w:val="00B700B4"/>
    <w:rsid w:val="00B84526"/>
    <w:rsid w:val="00B86B36"/>
    <w:rsid w:val="00BA208A"/>
    <w:rsid w:val="00BA40EF"/>
    <w:rsid w:val="00BC0452"/>
    <w:rsid w:val="00BC54E2"/>
    <w:rsid w:val="00BC5BCE"/>
    <w:rsid w:val="00BC7A05"/>
    <w:rsid w:val="00BE4664"/>
    <w:rsid w:val="00C000B0"/>
    <w:rsid w:val="00C12B38"/>
    <w:rsid w:val="00C142F6"/>
    <w:rsid w:val="00C17648"/>
    <w:rsid w:val="00C35AAA"/>
    <w:rsid w:val="00C43C9A"/>
    <w:rsid w:val="00C44FD2"/>
    <w:rsid w:val="00C518BE"/>
    <w:rsid w:val="00C54BDD"/>
    <w:rsid w:val="00C654D2"/>
    <w:rsid w:val="00C656D4"/>
    <w:rsid w:val="00C65A08"/>
    <w:rsid w:val="00C666B1"/>
    <w:rsid w:val="00C80ABC"/>
    <w:rsid w:val="00C87CB0"/>
    <w:rsid w:val="00C97152"/>
    <w:rsid w:val="00CA0E50"/>
    <w:rsid w:val="00CA247F"/>
    <w:rsid w:val="00CB17D2"/>
    <w:rsid w:val="00CB18D0"/>
    <w:rsid w:val="00CB5B6F"/>
    <w:rsid w:val="00CC071F"/>
    <w:rsid w:val="00CD32D5"/>
    <w:rsid w:val="00CD7120"/>
    <w:rsid w:val="00CE09FF"/>
    <w:rsid w:val="00CE726E"/>
    <w:rsid w:val="00CF382A"/>
    <w:rsid w:val="00D004C1"/>
    <w:rsid w:val="00D2601E"/>
    <w:rsid w:val="00D26068"/>
    <w:rsid w:val="00D34F2E"/>
    <w:rsid w:val="00D42522"/>
    <w:rsid w:val="00D45205"/>
    <w:rsid w:val="00D465AC"/>
    <w:rsid w:val="00D5056D"/>
    <w:rsid w:val="00D53B5E"/>
    <w:rsid w:val="00D55200"/>
    <w:rsid w:val="00D72FEE"/>
    <w:rsid w:val="00D7403B"/>
    <w:rsid w:val="00D93822"/>
    <w:rsid w:val="00D95883"/>
    <w:rsid w:val="00DA22DD"/>
    <w:rsid w:val="00DA67A9"/>
    <w:rsid w:val="00DB4860"/>
    <w:rsid w:val="00DB6502"/>
    <w:rsid w:val="00DB6E2A"/>
    <w:rsid w:val="00DC0156"/>
    <w:rsid w:val="00DD4B0E"/>
    <w:rsid w:val="00DD70B5"/>
    <w:rsid w:val="00DE1E3D"/>
    <w:rsid w:val="00DF097C"/>
    <w:rsid w:val="00E0069D"/>
    <w:rsid w:val="00E00F7E"/>
    <w:rsid w:val="00E02110"/>
    <w:rsid w:val="00E03268"/>
    <w:rsid w:val="00E07680"/>
    <w:rsid w:val="00E13FD4"/>
    <w:rsid w:val="00E24282"/>
    <w:rsid w:val="00E26598"/>
    <w:rsid w:val="00E44FD4"/>
    <w:rsid w:val="00E63060"/>
    <w:rsid w:val="00E6562F"/>
    <w:rsid w:val="00E66C8E"/>
    <w:rsid w:val="00E72D2C"/>
    <w:rsid w:val="00E73EE8"/>
    <w:rsid w:val="00E76A95"/>
    <w:rsid w:val="00E80E4E"/>
    <w:rsid w:val="00E83EAB"/>
    <w:rsid w:val="00E907B4"/>
    <w:rsid w:val="00E9140A"/>
    <w:rsid w:val="00E93C4C"/>
    <w:rsid w:val="00E94B50"/>
    <w:rsid w:val="00EB04A2"/>
    <w:rsid w:val="00EC0636"/>
    <w:rsid w:val="00EC5054"/>
    <w:rsid w:val="00ED6594"/>
    <w:rsid w:val="00EF0487"/>
    <w:rsid w:val="00EF6B18"/>
    <w:rsid w:val="00F0133C"/>
    <w:rsid w:val="00F01847"/>
    <w:rsid w:val="00F03BF3"/>
    <w:rsid w:val="00F07A9D"/>
    <w:rsid w:val="00F14992"/>
    <w:rsid w:val="00F33D9B"/>
    <w:rsid w:val="00F33F32"/>
    <w:rsid w:val="00F41D47"/>
    <w:rsid w:val="00F45392"/>
    <w:rsid w:val="00F5226D"/>
    <w:rsid w:val="00F572F0"/>
    <w:rsid w:val="00F60C0D"/>
    <w:rsid w:val="00F67367"/>
    <w:rsid w:val="00F675C5"/>
    <w:rsid w:val="00F814F7"/>
    <w:rsid w:val="00F84E12"/>
    <w:rsid w:val="00FA52B9"/>
    <w:rsid w:val="00FA588F"/>
    <w:rsid w:val="00FC1212"/>
    <w:rsid w:val="00FF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3746CBB"/>
  <w15:chartTrackingRefBased/>
  <w15:docId w15:val="{0EE6D9AD-FE95-44CF-B691-8BFB8CF2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E1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E19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956B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56BD8"/>
    <w:rPr>
      <w:sz w:val="24"/>
    </w:rPr>
  </w:style>
  <w:style w:type="paragraph" w:styleId="Footer">
    <w:name w:val="footer"/>
    <w:basedOn w:val="Normal"/>
    <w:link w:val="FooterChar"/>
    <w:uiPriority w:val="99"/>
    <w:rsid w:val="00956B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6BD8"/>
    <w:rPr>
      <w:sz w:val="24"/>
    </w:rPr>
  </w:style>
  <w:style w:type="paragraph" w:styleId="BalloonText">
    <w:name w:val="Balloon Text"/>
    <w:basedOn w:val="Normal"/>
    <w:link w:val="BalloonTextChar"/>
    <w:rsid w:val="00956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6B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0F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B4D8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6E19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E19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6E1954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2763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6D01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8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1458">
          <w:marLeft w:val="90"/>
          <w:marRight w:val="90"/>
          <w:marTop w:val="90"/>
          <w:marBottom w:val="90"/>
          <w:divBdr>
            <w:top w:val="single" w:sz="18" w:space="4" w:color="317BFF"/>
            <w:left w:val="single" w:sz="6" w:space="4" w:color="A1CDFF"/>
            <w:bottom w:val="single" w:sz="6" w:space="4" w:color="A1CDFF"/>
            <w:right w:val="single" w:sz="6" w:space="4" w:color="A1CDFF"/>
          </w:divBdr>
          <w:divsChild>
            <w:div w:id="1519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21418">
              <w:marLeft w:val="0"/>
              <w:marRight w:val="0"/>
              <w:marTop w:val="100"/>
              <w:marBottom w:val="0"/>
              <w:divBdr>
                <w:top w:val="single" w:sz="18" w:space="0" w:color="317BFF"/>
                <w:left w:val="single" w:sz="6" w:space="0" w:color="A1CDFF"/>
                <w:bottom w:val="single" w:sz="6" w:space="0" w:color="A1CDFF"/>
                <w:right w:val="single" w:sz="6" w:space="0" w:color="A1CDFF"/>
              </w:divBdr>
            </w:div>
          </w:divsChild>
        </w:div>
        <w:div w:id="280188020">
          <w:marLeft w:val="90"/>
          <w:marRight w:val="90"/>
          <w:marTop w:val="90"/>
          <w:marBottom w:val="90"/>
          <w:divBdr>
            <w:top w:val="single" w:sz="18" w:space="4" w:color="317BFF"/>
            <w:left w:val="single" w:sz="6" w:space="4" w:color="A1CDFF"/>
            <w:bottom w:val="single" w:sz="6" w:space="4" w:color="A1CDFF"/>
            <w:right w:val="single" w:sz="6" w:space="4" w:color="A1CDFF"/>
          </w:divBdr>
          <w:divsChild>
            <w:div w:id="2452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1479">
              <w:marLeft w:val="0"/>
              <w:marRight w:val="0"/>
              <w:marTop w:val="100"/>
              <w:marBottom w:val="0"/>
              <w:divBdr>
                <w:top w:val="single" w:sz="18" w:space="0" w:color="317BFF"/>
                <w:left w:val="single" w:sz="6" w:space="0" w:color="A1CDFF"/>
                <w:bottom w:val="single" w:sz="6" w:space="0" w:color="A1CDFF"/>
                <w:right w:val="single" w:sz="6" w:space="0" w:color="A1CDFF"/>
              </w:divBdr>
            </w:div>
          </w:divsChild>
        </w:div>
        <w:div w:id="1948544022">
          <w:marLeft w:val="90"/>
          <w:marRight w:val="90"/>
          <w:marTop w:val="90"/>
          <w:marBottom w:val="90"/>
          <w:divBdr>
            <w:top w:val="single" w:sz="18" w:space="4" w:color="317BFF"/>
            <w:left w:val="single" w:sz="6" w:space="4" w:color="A1CDFF"/>
            <w:bottom w:val="single" w:sz="6" w:space="4" w:color="A1CDFF"/>
            <w:right w:val="single" w:sz="6" w:space="4" w:color="A1CDFF"/>
          </w:divBdr>
          <w:divsChild>
            <w:div w:id="316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3503">
              <w:marLeft w:val="0"/>
              <w:marRight w:val="0"/>
              <w:marTop w:val="100"/>
              <w:marBottom w:val="0"/>
              <w:divBdr>
                <w:top w:val="single" w:sz="18" w:space="0" w:color="317BFF"/>
                <w:left w:val="single" w:sz="6" w:space="0" w:color="A1CDFF"/>
                <w:bottom w:val="single" w:sz="6" w:space="0" w:color="A1CDFF"/>
                <w:right w:val="single" w:sz="6" w:space="0" w:color="A1CDFF"/>
              </w:divBdr>
            </w:div>
          </w:divsChild>
        </w:div>
        <w:div w:id="1898079684">
          <w:marLeft w:val="90"/>
          <w:marRight w:val="90"/>
          <w:marTop w:val="90"/>
          <w:marBottom w:val="90"/>
          <w:divBdr>
            <w:top w:val="single" w:sz="18" w:space="4" w:color="317BFF"/>
            <w:left w:val="single" w:sz="6" w:space="4" w:color="A1CDFF"/>
            <w:bottom w:val="single" w:sz="6" w:space="4" w:color="A1CDFF"/>
            <w:right w:val="single" w:sz="6" w:space="4" w:color="A1CDFF"/>
          </w:divBdr>
          <w:divsChild>
            <w:div w:id="11064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5321">
              <w:marLeft w:val="0"/>
              <w:marRight w:val="0"/>
              <w:marTop w:val="100"/>
              <w:marBottom w:val="0"/>
              <w:divBdr>
                <w:top w:val="single" w:sz="18" w:space="0" w:color="317BFF"/>
                <w:left w:val="single" w:sz="6" w:space="0" w:color="A1CDFF"/>
                <w:bottom w:val="single" w:sz="6" w:space="0" w:color="A1CDFF"/>
                <w:right w:val="single" w:sz="6" w:space="0" w:color="A1CDFF"/>
              </w:divBdr>
            </w:div>
          </w:divsChild>
        </w:div>
      </w:divsChild>
    </w:div>
    <w:div w:id="11877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ph.illinois.gov/covid19/data/countymetrics/countyschool.html?county=Le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lchd.com/covid19-vaccination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ps170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ph.illinois.gov/covid19/data/countymetrics.html?county=L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9881CD736F4479C60F604AAE7365A" ma:contentTypeVersion="10" ma:contentTypeDescription="Create a new document." ma:contentTypeScope="" ma:versionID="a536fd55443b6cf91939ddfbdcff0e69">
  <xsd:schema xmlns:xsd="http://www.w3.org/2001/XMLSchema" xmlns:xs="http://www.w3.org/2001/XMLSchema" xmlns:p="http://schemas.microsoft.com/office/2006/metadata/properties" xmlns:ns3="6fb945be-a7bc-4d37-b52c-0aa34b5ec976" targetNamespace="http://schemas.microsoft.com/office/2006/metadata/properties" ma:root="true" ma:fieldsID="6c1ac43f2f9b5fe7b3ae836ceeef046b" ns3:_="">
    <xsd:import namespace="6fb945be-a7bc-4d37-b52c-0aa34b5ec9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945be-a7bc-4d37-b52c-0aa34b5ec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EC7AE-C317-4920-BE85-B8985975E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945be-a7bc-4d37-b52c-0aa34b5ec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DE8468-4542-4586-8879-219D9D9163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61A36-3A0B-4509-A1AD-F80E039EEC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04AEDB-4B20-4089-BE6C-337CA146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Dixon Public Schools</Company>
  <LinksUpToDate>false</LinksUpToDate>
  <CharactersWithSpaces>5938</CharactersWithSpaces>
  <SharedDoc>false</SharedDoc>
  <HLinks>
    <vt:vector size="6" baseType="variant">
      <vt:variant>
        <vt:i4>7864361</vt:i4>
      </vt:variant>
      <vt:variant>
        <vt:i4>0</vt:i4>
      </vt:variant>
      <vt:variant>
        <vt:i4>0</vt:i4>
      </vt:variant>
      <vt:variant>
        <vt:i4>5</vt:i4>
      </vt:variant>
      <vt:variant>
        <vt:lpwstr>http://www.dps170.org/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Empen, Margo</cp:lastModifiedBy>
  <cp:revision>3</cp:revision>
  <cp:lastPrinted>2021-08-29T17:45:00Z</cp:lastPrinted>
  <dcterms:created xsi:type="dcterms:W3CDTF">2022-02-21T01:18:00Z</dcterms:created>
  <dcterms:modified xsi:type="dcterms:W3CDTF">2022-02-21T01:21:00Z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0x010100A2D9881CD736F4479C60F604AAE7365A</vt:lpwstr>
  </property>
</Properties>
</file>