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B84" w:rsidRDefault="00333B84" w:rsidP="00333B84">
      <w:pPr>
        <w:pStyle w:val="Header"/>
        <w:pBdr>
          <w:top w:val="single" w:sz="4" w:space="1" w:color="auto"/>
          <w:left w:val="single" w:sz="4" w:space="4" w:color="auto"/>
          <w:bottom w:val="single" w:sz="4" w:space="1" w:color="auto"/>
          <w:right w:val="single" w:sz="4" w:space="4" w:color="auto"/>
        </w:pBdr>
        <w:rPr>
          <w:b/>
        </w:rPr>
      </w:pPr>
      <w:r>
        <w:tab/>
      </w:r>
      <w:r>
        <w:rPr>
          <w:b/>
        </w:rPr>
        <w:t>WOODSTOCK PUBLIC SCHOOLS</w:t>
      </w:r>
    </w:p>
    <w:p w:rsidR="00333B84" w:rsidRDefault="00333B84" w:rsidP="00333B84">
      <w:pPr>
        <w:pStyle w:val="Header"/>
        <w:pBdr>
          <w:top w:val="single" w:sz="4" w:space="1" w:color="auto"/>
          <w:left w:val="single" w:sz="4" w:space="4" w:color="auto"/>
          <w:bottom w:val="single" w:sz="4" w:space="1" w:color="auto"/>
          <w:right w:val="single" w:sz="4" w:space="4" w:color="auto"/>
        </w:pBdr>
        <w:jc w:val="center"/>
        <w:rPr>
          <w:b/>
        </w:rPr>
      </w:pPr>
      <w:r>
        <w:rPr>
          <w:b/>
        </w:rPr>
        <w:t>Woodstock, CT 06281</w:t>
      </w:r>
    </w:p>
    <w:p w:rsidR="00333B84" w:rsidRDefault="00333B84" w:rsidP="00333B84">
      <w:pPr>
        <w:pStyle w:val="Header"/>
        <w:pBdr>
          <w:top w:val="single" w:sz="4" w:space="1" w:color="auto"/>
          <w:left w:val="single" w:sz="4" w:space="4" w:color="auto"/>
          <w:bottom w:val="single" w:sz="4" w:space="1" w:color="auto"/>
          <w:right w:val="single" w:sz="4" w:space="4" w:color="auto"/>
        </w:pBdr>
        <w:rPr>
          <w:b/>
        </w:rPr>
      </w:pPr>
      <w:r>
        <w:rPr>
          <w:b/>
        </w:rPr>
        <w:t>Series 5000</w:t>
      </w:r>
    </w:p>
    <w:p w:rsidR="00333B84" w:rsidRDefault="00333B84" w:rsidP="00333B84">
      <w:pPr>
        <w:pStyle w:val="Header"/>
        <w:pBdr>
          <w:top w:val="single" w:sz="4" w:space="1" w:color="auto"/>
          <w:left w:val="single" w:sz="4" w:space="4" w:color="auto"/>
          <w:bottom w:val="single" w:sz="4" w:space="1" w:color="auto"/>
          <w:right w:val="single" w:sz="4" w:space="4" w:color="auto"/>
        </w:pBdr>
        <w:rPr>
          <w:b/>
        </w:rPr>
      </w:pPr>
      <w:r>
        <w:rPr>
          <w:b/>
        </w:rPr>
        <w:t>Students</w:t>
      </w:r>
    </w:p>
    <w:p w:rsidR="0022716F" w:rsidRDefault="0022716F" w:rsidP="00333B84">
      <w:pPr>
        <w:tabs>
          <w:tab w:val="left" w:pos="2352"/>
        </w:tabs>
        <w:jc w:val="both"/>
      </w:pPr>
    </w:p>
    <w:p w:rsidR="00333B84" w:rsidRDefault="00333B84">
      <w:pPr>
        <w:jc w:val="both"/>
      </w:pPr>
    </w:p>
    <w:p w:rsidR="0022716F" w:rsidRDefault="0022716F">
      <w:pPr>
        <w:jc w:val="both"/>
      </w:pPr>
      <w:bookmarkStart w:id="0" w:name="_GoBack"/>
      <w:bookmarkEnd w:id="0"/>
      <w:r>
        <w:t>The following statement of policies of the School Health Program has been prepared for the information and guidance of persons concerned with the health and welfare of school children and for better understanding between the school personnel and the parents.</w:t>
      </w:r>
    </w:p>
    <w:p w:rsidR="0022716F" w:rsidRDefault="0022716F">
      <w:pPr>
        <w:jc w:val="both"/>
      </w:pPr>
    </w:p>
    <w:p w:rsidR="0022716F" w:rsidRDefault="0022716F">
      <w:pPr>
        <w:ind w:left="720"/>
        <w:jc w:val="both"/>
        <w:rPr>
          <w:b/>
          <w:bCs/>
          <w:u w:val="single"/>
        </w:rPr>
      </w:pPr>
      <w:r>
        <w:rPr>
          <w:b/>
          <w:bCs/>
          <w:u w:val="single"/>
        </w:rPr>
        <w:t>Admission to School</w:t>
      </w:r>
    </w:p>
    <w:p w:rsidR="0022716F" w:rsidRDefault="0022716F">
      <w:pPr>
        <w:jc w:val="both"/>
        <w:rPr>
          <w:b/>
          <w:bCs/>
          <w:u w:val="single"/>
        </w:rPr>
      </w:pPr>
    </w:p>
    <w:p w:rsidR="0022716F" w:rsidRDefault="0022716F">
      <w:pPr>
        <w:tabs>
          <w:tab w:val="left" w:pos="-1440"/>
        </w:tabs>
        <w:ind w:left="1440" w:hanging="720"/>
        <w:jc w:val="both"/>
      </w:pPr>
      <w:r>
        <w:t>A.</w:t>
      </w:r>
      <w:r>
        <w:tab/>
        <w:t>School immunization requirements are as per current state statutes (C.G.S. Sec. 1-204a).  A doctor’s certificate must state that such immunizations are medically contra-indicated or a statement from parents or guardians that such immunizations statement from parents or guardians that such immunizations would be contrary to religious beliefs in order for student to be exempt from the law.  This information will be kept on file in the child’s cumulative health record.</w:t>
      </w:r>
    </w:p>
    <w:p w:rsidR="0022716F" w:rsidRDefault="0022716F">
      <w:pPr>
        <w:jc w:val="both"/>
      </w:pPr>
    </w:p>
    <w:p w:rsidR="0022716F" w:rsidRDefault="0022716F">
      <w:pPr>
        <w:pStyle w:val="QuickA"/>
        <w:tabs>
          <w:tab w:val="left" w:pos="-1440"/>
          <w:tab w:val="num" w:pos="1440"/>
        </w:tabs>
        <w:jc w:val="both"/>
      </w:pPr>
      <w:r>
        <w:t>Medical examinations are required of all transfer students entering grades Pre-Kindergarten - 8</w:t>
      </w:r>
      <w:r>
        <w:rPr>
          <w:vertAlign w:val="superscript"/>
        </w:rPr>
        <w:t>th</w:t>
      </w:r>
      <w:r>
        <w:t>.  Records of such examinations shall be kept in the cumulative health record.</w:t>
      </w:r>
    </w:p>
    <w:p w:rsidR="0022716F" w:rsidRDefault="0022716F">
      <w:pPr>
        <w:jc w:val="both"/>
      </w:pPr>
    </w:p>
    <w:p w:rsidR="0022716F" w:rsidRDefault="0022716F">
      <w:pPr>
        <w:pStyle w:val="QuickA"/>
        <w:tabs>
          <w:tab w:val="left" w:pos="-1440"/>
          <w:tab w:val="num" w:pos="1440"/>
        </w:tabs>
        <w:jc w:val="both"/>
      </w:pPr>
      <w:r>
        <w:t>Hearing and vision screenings will be conducted on all new students entering school.</w:t>
      </w:r>
    </w:p>
    <w:p w:rsidR="0022716F" w:rsidRDefault="0022716F">
      <w:pPr>
        <w:jc w:val="both"/>
      </w:pPr>
    </w:p>
    <w:p w:rsidR="0022716F" w:rsidRDefault="0022716F">
      <w:pPr>
        <w:pStyle w:val="QuickA"/>
        <w:tabs>
          <w:tab w:val="left" w:pos="-1440"/>
          <w:tab w:val="num" w:pos="1440"/>
        </w:tabs>
        <w:jc w:val="both"/>
      </w:pPr>
      <w:r>
        <w:t xml:space="preserve">Routine tuberculin testing at each of the required examinations is not recommended.  The current low rates of transmission of tuberculosis in all parts of Connecticut do not justify it. </w:t>
      </w:r>
    </w:p>
    <w:p w:rsidR="0022716F" w:rsidRDefault="0022716F">
      <w:pPr>
        <w:jc w:val="both"/>
      </w:pPr>
    </w:p>
    <w:p w:rsidR="0022716F" w:rsidRDefault="0022716F">
      <w:pPr>
        <w:ind w:left="1440"/>
        <w:jc w:val="both"/>
      </w:pPr>
      <w:r>
        <w:t>It is recommended that at each mandated examination, an assessment be made of the risk of exposure to tuberculosis.  Students not already known to have a positive test should be tested if they have any of the following risk factors for tuberculosis infection: a) were born in a high risk country of the world</w:t>
      </w:r>
      <w:r>
        <w:rPr>
          <w:vertAlign w:val="superscript"/>
        </w:rPr>
        <w:t>1</w:t>
      </w:r>
      <w:r>
        <w:t xml:space="preserve"> and do not have a record of a tuberculin skin test performed in the US; b) have travelled to a high risk country since the previously required examination; c) have had extensive contact with persons who have recently come to the US since the previously required examination; d) had contact with person(s) suspected to have tuberculosis; e) have been living in a homeless shelter; or f) have HIV infection.  Woodstock Public Schools should assure that all students originally from high risk countries</w:t>
      </w:r>
      <w:r>
        <w:rPr>
          <w:vertAlign w:val="superscript"/>
        </w:rPr>
        <w:t>1</w:t>
      </w:r>
      <w:r>
        <w:t xml:space="preserve"> who are entering school in Connecticut for the first time receive a tuberculin skin test.  A history of BCG vaccination is not a contraindication to testing nor should it be considered in interpretation of the skin test result.</w:t>
      </w:r>
    </w:p>
    <w:p w:rsidR="0022716F" w:rsidRDefault="0022716F">
      <w:pPr>
        <w:jc w:val="both"/>
      </w:pPr>
    </w:p>
    <w:p w:rsidR="0022716F" w:rsidRDefault="0022716F">
      <w:pPr>
        <w:ind w:left="1440"/>
        <w:jc w:val="both"/>
      </w:pPr>
      <w:r>
        <w:t xml:space="preserve">The results of the risk assessment and testing, when done, should be recorded on the state health assessment record (HAR-3) or directly in the student’s school </w:t>
      </w:r>
      <w:r>
        <w:lastRenderedPageBreak/>
        <w:t>health record (CHR-1).</w:t>
      </w:r>
    </w:p>
    <w:p w:rsidR="0022716F" w:rsidRDefault="0022716F">
      <w:pPr>
        <w:ind w:firstLine="1440"/>
        <w:jc w:val="both"/>
      </w:pPr>
    </w:p>
    <w:p w:rsidR="0022716F" w:rsidRDefault="0022716F">
      <w:pPr>
        <w:ind w:left="1440"/>
        <w:jc w:val="both"/>
      </w:pPr>
      <w:r>
        <w:rPr>
          <w:vertAlign w:val="superscript"/>
        </w:rPr>
        <w:t>1</w:t>
      </w:r>
      <w:r>
        <w:t>All countries in Africa, Asia (including former Soviet Union), Central and South America, Dominican Republic and Haiti.</w:t>
      </w:r>
    </w:p>
    <w:p w:rsidR="0022716F" w:rsidRDefault="0022716F">
      <w:pPr>
        <w:jc w:val="both"/>
      </w:pPr>
    </w:p>
    <w:p w:rsidR="0022716F" w:rsidRDefault="0022716F">
      <w:pPr>
        <w:tabs>
          <w:tab w:val="left" w:pos="-1440"/>
        </w:tabs>
        <w:ind w:left="2160" w:hanging="2160"/>
        <w:jc w:val="both"/>
        <w:rPr>
          <w:sz w:val="20"/>
          <w:szCs w:val="20"/>
        </w:rPr>
      </w:pPr>
      <w:r>
        <w:rPr>
          <w:sz w:val="20"/>
          <w:szCs w:val="20"/>
        </w:rPr>
        <w:t>Adopted</w:t>
      </w:r>
      <w:r>
        <w:rPr>
          <w:sz w:val="20"/>
          <w:szCs w:val="20"/>
        </w:rPr>
        <w:tab/>
      </w:r>
      <w:r>
        <w:rPr>
          <w:sz w:val="20"/>
          <w:szCs w:val="20"/>
        </w:rPr>
        <w:tab/>
        <w:t>12 August 1982</w:t>
      </w:r>
    </w:p>
    <w:p w:rsidR="0022716F" w:rsidRDefault="0022716F">
      <w:pPr>
        <w:tabs>
          <w:tab w:val="left" w:pos="-1440"/>
        </w:tabs>
        <w:ind w:left="2160" w:hanging="2160"/>
        <w:jc w:val="both"/>
        <w:rPr>
          <w:sz w:val="20"/>
          <w:szCs w:val="20"/>
        </w:rPr>
      </w:pPr>
      <w:r>
        <w:rPr>
          <w:sz w:val="20"/>
          <w:szCs w:val="20"/>
        </w:rPr>
        <w:t>Revised:</w:t>
      </w:r>
      <w:r>
        <w:rPr>
          <w:sz w:val="20"/>
          <w:szCs w:val="20"/>
        </w:rPr>
        <w:tab/>
      </w:r>
      <w:r>
        <w:rPr>
          <w:sz w:val="20"/>
          <w:szCs w:val="20"/>
        </w:rPr>
        <w:tab/>
        <w:t>9 February 1989</w:t>
      </w:r>
    </w:p>
    <w:p w:rsidR="0022716F" w:rsidRDefault="0022716F">
      <w:pPr>
        <w:tabs>
          <w:tab w:val="left" w:pos="-1440"/>
        </w:tabs>
        <w:ind w:left="2160" w:hanging="2160"/>
        <w:jc w:val="both"/>
        <w:rPr>
          <w:sz w:val="20"/>
          <w:szCs w:val="20"/>
        </w:rPr>
      </w:pPr>
      <w:r>
        <w:rPr>
          <w:sz w:val="20"/>
          <w:szCs w:val="20"/>
        </w:rPr>
        <w:t>Revised:</w:t>
      </w:r>
      <w:r>
        <w:rPr>
          <w:sz w:val="20"/>
          <w:szCs w:val="20"/>
        </w:rPr>
        <w:tab/>
      </w:r>
      <w:r>
        <w:rPr>
          <w:sz w:val="20"/>
          <w:szCs w:val="20"/>
        </w:rPr>
        <w:tab/>
        <w:t>26 September 1991</w:t>
      </w:r>
    </w:p>
    <w:p w:rsidR="0022716F" w:rsidRDefault="0022716F">
      <w:pPr>
        <w:tabs>
          <w:tab w:val="left" w:pos="-1440"/>
        </w:tabs>
        <w:ind w:left="2160" w:hanging="2160"/>
        <w:jc w:val="both"/>
        <w:rPr>
          <w:sz w:val="22"/>
          <w:szCs w:val="22"/>
        </w:rPr>
      </w:pPr>
      <w:r>
        <w:rPr>
          <w:sz w:val="20"/>
          <w:szCs w:val="20"/>
        </w:rPr>
        <w:t>Revised:</w:t>
      </w:r>
      <w:r>
        <w:rPr>
          <w:sz w:val="20"/>
          <w:szCs w:val="20"/>
        </w:rPr>
        <w:tab/>
      </w:r>
      <w:r>
        <w:rPr>
          <w:sz w:val="20"/>
          <w:szCs w:val="20"/>
        </w:rPr>
        <w:tab/>
        <w:t>April 25, 2002</w:t>
      </w:r>
    </w:p>
    <w:sectPr w:rsidR="0022716F" w:rsidSect="00333B84">
      <w:footerReference w:type="default" r:id="rId7"/>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B84" w:rsidRDefault="00333B84" w:rsidP="00333B84">
      <w:r>
        <w:separator/>
      </w:r>
    </w:p>
  </w:endnote>
  <w:endnote w:type="continuationSeparator" w:id="0">
    <w:p w:rsidR="00333B84" w:rsidRDefault="00333B84" w:rsidP="00333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B84" w:rsidRDefault="00333B8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rsidR="00333B84" w:rsidRDefault="00333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B84" w:rsidRDefault="00333B84" w:rsidP="00333B84">
      <w:r>
        <w:separator/>
      </w:r>
    </w:p>
  </w:footnote>
  <w:footnote w:type="continuationSeparator" w:id="0">
    <w:p w:rsidR="00333B84" w:rsidRDefault="00333B84" w:rsidP="00333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pStyle w:val="QuickA"/>
      <w:lvlText w:val="%1."/>
      <w:lvlJc w:val="left"/>
      <w:pPr>
        <w:tabs>
          <w:tab w:val="num" w:pos="1440"/>
        </w:tabs>
      </w:pPr>
      <w:rPr>
        <w:rFonts w:ascii="Times New Roman" w:hAnsi="Times New Roman" w:cs="Times New Roman"/>
        <w:sz w:val="24"/>
        <w:szCs w:val="24"/>
      </w:rPr>
    </w:lvl>
  </w:abstractNum>
  <w:num w:numId="1">
    <w:abstractNumId w:val="0"/>
    <w:lvlOverride w:ilvl="0">
      <w:startOverride w:val="2"/>
      <w:lvl w:ilvl="0">
        <w:start w:val="2"/>
        <w:numFmt w:val="upperLetter"/>
        <w:pStyle w:val="QuickA"/>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716F"/>
    <w:rsid w:val="0022716F"/>
    <w:rsid w:val="00333B84"/>
    <w:rsid w:val="007E0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15E7B"/>
  <w14:defaultImageDpi w14:val="0"/>
  <w15:docId w15:val="{3E6834AB-F04C-416E-9972-4FD2C232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A">
    <w:name w:val="Quick A."/>
    <w:basedOn w:val="Normal"/>
    <w:uiPriority w:val="99"/>
    <w:pPr>
      <w:numPr>
        <w:numId w:val="1"/>
      </w:numPr>
      <w:ind w:left="1440" w:hanging="720"/>
    </w:pPr>
  </w:style>
  <w:style w:type="paragraph" w:styleId="Header">
    <w:name w:val="header"/>
    <w:basedOn w:val="Normal"/>
    <w:link w:val="HeaderChar"/>
    <w:unhideWhenUsed/>
    <w:rsid w:val="00333B84"/>
    <w:pPr>
      <w:widowControl/>
      <w:tabs>
        <w:tab w:val="center" w:pos="4320"/>
        <w:tab w:val="right" w:pos="8640"/>
      </w:tabs>
      <w:autoSpaceDE/>
      <w:autoSpaceDN/>
      <w:adjustRightInd/>
    </w:pPr>
  </w:style>
  <w:style w:type="character" w:customStyle="1" w:styleId="HeaderChar">
    <w:name w:val="Header Char"/>
    <w:link w:val="Header"/>
    <w:rsid w:val="00333B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3B84"/>
    <w:pPr>
      <w:tabs>
        <w:tab w:val="center" w:pos="4680"/>
        <w:tab w:val="right" w:pos="9360"/>
      </w:tabs>
    </w:pPr>
  </w:style>
  <w:style w:type="character" w:customStyle="1" w:styleId="FooterChar">
    <w:name w:val="Footer Char"/>
    <w:link w:val="Footer"/>
    <w:uiPriority w:val="99"/>
    <w:rsid w:val="00333B8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83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Milanese</dc:creator>
  <cp:keywords/>
  <dc:description/>
  <cp:lastModifiedBy>Katrina Milanese</cp:lastModifiedBy>
  <cp:revision>3</cp:revision>
  <dcterms:created xsi:type="dcterms:W3CDTF">2018-12-21T18:19:00Z</dcterms:created>
  <dcterms:modified xsi:type="dcterms:W3CDTF">2018-12-21T18:22:00Z</dcterms:modified>
</cp:coreProperties>
</file>