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E11" w:rsidRDefault="00825E11">
      <w:pPr>
        <w:jc w:val="center"/>
      </w:pPr>
      <w:r>
        <w:rPr>
          <w:b/>
          <w:bCs/>
          <w:u w:val="single"/>
        </w:rPr>
        <w:t>Chronic Infectious Diseases</w:t>
      </w:r>
    </w:p>
    <w:p w:rsidR="00825E11" w:rsidRDefault="00825E11">
      <w:pPr>
        <w:pStyle w:val="QuickA"/>
        <w:tabs>
          <w:tab w:val="left" w:pos="-1440"/>
          <w:tab w:val="num" w:pos="720"/>
        </w:tabs>
      </w:pPr>
      <w:r>
        <w:t>The exclusion of readmission of pupils, teachers, or other employees suspected of being ill with communicable disease, will follow the code of the State of Connecticut.</w:t>
      </w:r>
    </w:p>
    <w:p w:rsidR="00825E11" w:rsidRDefault="00825E11"/>
    <w:p w:rsidR="00825E11" w:rsidRDefault="00825E11">
      <w:pPr>
        <w:pStyle w:val="Quick1"/>
        <w:tabs>
          <w:tab w:val="left" w:pos="-1440"/>
          <w:tab w:val="num" w:pos="1440"/>
        </w:tabs>
      </w:pPr>
      <w:r>
        <w:t>All children in Connecticut have a constitutional right to a free, suitable program of educational experience.</w:t>
      </w:r>
    </w:p>
    <w:p w:rsidR="00825E11" w:rsidRDefault="00825E11"/>
    <w:p w:rsidR="00825E11" w:rsidRDefault="00825E11">
      <w:pPr>
        <w:pStyle w:val="Quick1"/>
        <w:tabs>
          <w:tab w:val="left" w:pos="-1440"/>
          <w:tab w:val="num" w:pos="1440"/>
        </w:tabs>
      </w:pPr>
      <w:proofErr w:type="gramStart"/>
      <w:r>
        <w:t>As a general rule</w:t>
      </w:r>
      <w:proofErr w:type="gramEnd"/>
      <w:r>
        <w:t>, a child with a chronic infectious disease will be allowed, with the approval of the child’s physician, to attend school in a regular classroom setting and will be considered eligible for all rights, privileges, and services provided by law and existing policy of the Woodstock school district.</w:t>
      </w:r>
    </w:p>
    <w:p w:rsidR="00825E11" w:rsidRDefault="00825E11"/>
    <w:p w:rsidR="00825E11" w:rsidRDefault="00825E11">
      <w:pPr>
        <w:pStyle w:val="Quick1"/>
        <w:tabs>
          <w:tab w:val="left" w:pos="-1440"/>
          <w:tab w:val="num" w:pos="1440"/>
        </w:tabs>
      </w:pPr>
      <w:r>
        <w:t>The school nurse will function as (a) the liaison with the child’s physician; (b) the child’s advocate in the school (i.e., assist in problem resolution, answer questions); and (c) the coordinator of services provided by other staff.</w:t>
      </w:r>
    </w:p>
    <w:p w:rsidR="00825E11" w:rsidRDefault="00825E11"/>
    <w:p w:rsidR="00825E11" w:rsidRDefault="00825E11">
      <w:pPr>
        <w:pStyle w:val="Quick1"/>
        <w:tabs>
          <w:tab w:val="left" w:pos="-1440"/>
          <w:tab w:val="num" w:pos="1440"/>
        </w:tabs>
      </w:pPr>
      <w:r>
        <w:t>The school will respect the right to privacy of the individual; therefore, knowledge that a child has a chronic infectious disease will be confirmed to those persons with a direct need to know (e.g. principal, school nurse, child’s teacher).  Those persons will be provided with appropriate information concerning such precautions as may be necessary and should be aware of confidentiality requirements.</w:t>
      </w:r>
    </w:p>
    <w:p w:rsidR="00825E11" w:rsidRDefault="00825E11"/>
    <w:p w:rsidR="00825E11" w:rsidRDefault="00825E11">
      <w:pPr>
        <w:pStyle w:val="Quick1"/>
        <w:tabs>
          <w:tab w:val="left" w:pos="-1440"/>
          <w:tab w:val="num" w:pos="1440"/>
        </w:tabs>
      </w:pPr>
      <w:r>
        <w:t>Based upon individual circumstances, special programming may be warranted.  Special Education will be provided if determined to be necessary by the Planning and Placement Team.</w:t>
      </w:r>
    </w:p>
    <w:p w:rsidR="00825E11" w:rsidRDefault="00825E11"/>
    <w:p w:rsidR="00825E11" w:rsidRDefault="00825E11">
      <w:pPr>
        <w:pStyle w:val="Quick1"/>
        <w:tabs>
          <w:tab w:val="left" w:pos="-1440"/>
          <w:tab w:val="num" w:pos="1440"/>
        </w:tabs>
      </w:pPr>
      <w:r>
        <w:t>Under certain circumstances, a child with a chronic infectious disease might pose a risk of transmission to others.  If any such circumstances exist, the school medical advisor, in consultation with the school nurse and the child’s physician, must determine whether a risk of transmission exists.  If it is determined that a risk exists, the student shall be removed from the classroom.</w:t>
      </w:r>
    </w:p>
    <w:p w:rsidR="00825E11" w:rsidRDefault="00825E11"/>
    <w:p w:rsidR="00825E11" w:rsidRDefault="00825E11">
      <w:pPr>
        <w:pStyle w:val="Quick1"/>
        <w:tabs>
          <w:tab w:val="left" w:pos="-1440"/>
          <w:tab w:val="num" w:pos="1440"/>
        </w:tabs>
      </w:pPr>
      <w:r>
        <w:t xml:space="preserve">A child with a chronic infectious disease may be temporarily removed from the classroom for the reasons stated in #6 until an appropriate school program adjustment can be made, an appropriate alternative education program can be established, or the medical advisor determine that the risk has </w:t>
      </w:r>
      <w:proofErr w:type="gramStart"/>
      <w:r>
        <w:t>abated</w:t>
      </w:r>
      <w:proofErr w:type="gramEnd"/>
      <w:r>
        <w:t xml:space="preserve"> and the child can return to the classroom.</w:t>
      </w:r>
    </w:p>
    <w:p w:rsidR="00825E11" w:rsidRDefault="00825E11">
      <w:pPr>
        <w:pStyle w:val="Quicka0"/>
        <w:tabs>
          <w:tab w:val="left" w:pos="-1440"/>
          <w:tab w:val="num" w:pos="2160"/>
        </w:tabs>
      </w:pPr>
      <w:r>
        <w:t>Removal from the classroom will not be construed as the only response to reduce risk of transmission.  School personnel should be flexible in developing alternatives and should attempt to use the least restrictive means to accommodate the child’s needs.</w:t>
      </w:r>
    </w:p>
    <w:p w:rsidR="00825E11" w:rsidRDefault="00825E11"/>
    <w:p w:rsidR="00825E11" w:rsidRDefault="00825E11">
      <w:pPr>
        <w:sectPr w:rsidR="00825E11" w:rsidSect="00E342FB">
          <w:headerReference w:type="default" r:id="rId7"/>
          <w:footerReference w:type="default" r:id="rId8"/>
          <w:pgSz w:w="12240" w:h="15840"/>
          <w:pgMar w:top="1440" w:right="1440" w:bottom="1440" w:left="1440" w:header="720" w:footer="1440" w:gutter="0"/>
          <w:cols w:space="720"/>
          <w:noEndnote/>
        </w:sectPr>
      </w:pPr>
    </w:p>
    <w:p w:rsidR="00825E11" w:rsidRDefault="00825E11"/>
    <w:p w:rsidR="00825E11" w:rsidRDefault="00825E11">
      <w:pPr>
        <w:pStyle w:val="Quicka0"/>
        <w:tabs>
          <w:tab w:val="left" w:pos="-1440"/>
          <w:tab w:val="num" w:pos="2160"/>
        </w:tabs>
      </w:pPr>
      <w:r>
        <w:t>In any case of temporary removal of the student from the school setting, state regulations and school policy regarding homebound instruction will apply.</w:t>
      </w:r>
    </w:p>
    <w:p w:rsidR="00825E11" w:rsidRDefault="00825E11"/>
    <w:p w:rsidR="00825E11" w:rsidRDefault="00825E11">
      <w:pPr>
        <w:pStyle w:val="Quick1"/>
        <w:tabs>
          <w:tab w:val="left" w:pos="-1440"/>
          <w:tab w:val="num" w:pos="1440"/>
        </w:tabs>
      </w:pPr>
      <w:r>
        <w:t>Each removal of a child with a chronic infectious disease from normal school attendance will be reviewed by the school medical advisor in consultation with the student’s physician at least once every month to determine whether the condition precipitating the removal has changed.</w:t>
      </w:r>
    </w:p>
    <w:p w:rsidR="00825E11" w:rsidRDefault="00825E11"/>
    <w:p w:rsidR="00825E11" w:rsidRDefault="00825E11">
      <w:pPr>
        <w:pStyle w:val="Quick1"/>
        <w:tabs>
          <w:tab w:val="left" w:pos="-1440"/>
          <w:tab w:val="num" w:pos="1440"/>
        </w:tabs>
      </w:pPr>
      <w:r>
        <w:t>A child with a chronic infectious disease may need to be removed from the classroom for his/her own protection when other communicable diseases (e.g., measles or chicken pox) are occurring in the school population.  This decision will be made by the child’s physician and parent/guardian in consultation with the school nurse and/or the school medical advisor.</w:t>
      </w:r>
    </w:p>
    <w:p w:rsidR="00825E11" w:rsidRDefault="00825E11"/>
    <w:p w:rsidR="00825E11" w:rsidRDefault="00825E11">
      <w:pPr>
        <w:pStyle w:val="Quick1"/>
        <w:tabs>
          <w:tab w:val="left" w:pos="-1440"/>
          <w:tab w:val="num" w:pos="1440"/>
        </w:tabs>
      </w:pPr>
      <w:r>
        <w:t xml:space="preserve">All staff will be instructed in the following routine and standard procedures to clean up after a child has an accident or injury at school.  Blood or other body fluids emanating from </w:t>
      </w:r>
      <w:r>
        <w:rPr>
          <w:u w:val="single"/>
        </w:rPr>
        <w:t>any</w:t>
      </w:r>
      <w:r>
        <w:t xml:space="preserve"> child, including ones known to have a chronic infectious disease, should be treated cautiously.  Gloves should be worn when cleaning up blood spills.  These spills should be disinfected with either bleach or another disinfectant, and persons </w:t>
      </w:r>
      <w:proofErr w:type="gramStart"/>
      <w:r>
        <w:t>coming in contact with</w:t>
      </w:r>
      <w:proofErr w:type="gramEnd"/>
      <w:r>
        <w:t xml:space="preserve"> them should wash their hands afterwards.  Blood soaked items should be place in </w:t>
      </w:r>
      <w:proofErr w:type="gramStart"/>
      <w:r>
        <w:t xml:space="preserve">leakproof </w:t>
      </w:r>
      <w:r w:rsidR="0014736E">
        <w:t xml:space="preserve"> </w:t>
      </w:r>
      <w:r>
        <w:t>bags</w:t>
      </w:r>
      <w:proofErr w:type="gramEnd"/>
      <w:r>
        <w:t xml:space="preserve"> for washing or further disposition.  Similar procedures are recommended for dealing with vomitus and fecal or urinary incontinence in </w:t>
      </w:r>
      <w:r>
        <w:rPr>
          <w:u w:val="single"/>
        </w:rPr>
        <w:t>any</w:t>
      </w:r>
      <w:r>
        <w:t xml:space="preserve"> child.  Hand washing after contact with a school child is routinely recommended only if physical contact has been made with the child’s blood or body fluids, including saliva.</w:t>
      </w:r>
    </w:p>
    <w:p w:rsidR="00825E11" w:rsidRDefault="00825E11"/>
    <w:p w:rsidR="00825E11" w:rsidRDefault="00825E11">
      <w:pPr>
        <w:pStyle w:val="QuickA"/>
        <w:tabs>
          <w:tab w:val="left" w:pos="-1440"/>
          <w:tab w:val="num" w:pos="720"/>
        </w:tabs>
      </w:pPr>
      <w:r>
        <w:t>Each school medical advisor shall make a prompt examination of all pupils referred to him by the school nurse, teacher, or principal.  The physician will interpret to those parties concerned and parents, his findings with his recommendations as to how the child will be cared for and what provisions, if any, should be made at the school for the care and welfare of the pupil.</w:t>
      </w:r>
    </w:p>
    <w:p w:rsidR="00825E11" w:rsidRDefault="00825E11"/>
    <w:p w:rsidR="00825E11" w:rsidRDefault="00825E11">
      <w:pPr>
        <w:pStyle w:val="QuickA"/>
        <w:tabs>
          <w:tab w:val="left" w:pos="-1440"/>
          <w:tab w:val="num" w:pos="720"/>
        </w:tabs>
      </w:pPr>
      <w:r>
        <w:t>Each school medical advisor shall also make examinations of teachers, custodians, and other employees of the Board of Education when he is requested by the Board of Education, or when he feels it is necessary for the protection of the health of the pupils (P.L. 10-107).</w:t>
      </w:r>
    </w:p>
    <w:p w:rsidR="00825E11" w:rsidRDefault="00825E11"/>
    <w:p w:rsidR="00825E11" w:rsidRDefault="00825E11">
      <w:pPr>
        <w:pStyle w:val="QuickA"/>
        <w:tabs>
          <w:tab w:val="left" w:pos="-1440"/>
          <w:tab w:val="num" w:pos="720"/>
        </w:tabs>
      </w:pPr>
      <w:r>
        <w:t>The school nurse should refer to her school medical physician with any questions she might have pertaining to the physical and emotional well-being of a pupil.</w:t>
      </w:r>
    </w:p>
    <w:p w:rsidR="00212CAB" w:rsidRDefault="00212CAB">
      <w:pPr>
        <w:tabs>
          <w:tab w:val="left" w:pos="-1440"/>
        </w:tabs>
        <w:ind w:left="1440" w:hanging="1440"/>
        <w:rPr>
          <w:sz w:val="20"/>
          <w:szCs w:val="20"/>
        </w:rPr>
      </w:pPr>
    </w:p>
    <w:p w:rsidR="00825E11" w:rsidRDefault="00825E11">
      <w:pPr>
        <w:tabs>
          <w:tab w:val="left" w:pos="-1440"/>
        </w:tabs>
        <w:ind w:left="1440" w:hanging="1440"/>
        <w:rPr>
          <w:sz w:val="20"/>
          <w:szCs w:val="20"/>
        </w:rPr>
      </w:pPr>
      <w:r>
        <w:rPr>
          <w:sz w:val="20"/>
          <w:szCs w:val="20"/>
        </w:rPr>
        <w:t>Proposed:</w:t>
      </w:r>
      <w:r>
        <w:rPr>
          <w:sz w:val="20"/>
          <w:szCs w:val="20"/>
        </w:rPr>
        <w:tab/>
        <w:t>10 December 1987</w:t>
      </w:r>
    </w:p>
    <w:p w:rsidR="00825E11" w:rsidRDefault="00825E11">
      <w:pPr>
        <w:tabs>
          <w:tab w:val="left" w:pos="-1440"/>
        </w:tabs>
        <w:ind w:left="1440" w:hanging="1440"/>
      </w:pPr>
      <w:r>
        <w:rPr>
          <w:sz w:val="20"/>
          <w:szCs w:val="20"/>
        </w:rPr>
        <w:t>Adopted:</w:t>
      </w:r>
      <w:r>
        <w:rPr>
          <w:sz w:val="20"/>
          <w:szCs w:val="20"/>
        </w:rPr>
        <w:tab/>
      </w:r>
      <w:r w:rsidR="00212CAB">
        <w:rPr>
          <w:sz w:val="20"/>
          <w:szCs w:val="20"/>
        </w:rPr>
        <w:tab/>
      </w:r>
      <w:r>
        <w:rPr>
          <w:sz w:val="20"/>
          <w:szCs w:val="20"/>
        </w:rPr>
        <w:t>14 January 1988</w:t>
      </w:r>
      <w:bookmarkStart w:id="0" w:name="_GoBack"/>
      <w:bookmarkEnd w:id="0"/>
    </w:p>
    <w:sectPr w:rsidR="00825E11" w:rsidSect="00825E11">
      <w:type w:val="continuous"/>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2FB" w:rsidRDefault="00E342FB" w:rsidP="00E342FB">
      <w:r>
        <w:separator/>
      </w:r>
    </w:p>
  </w:endnote>
  <w:endnote w:type="continuationSeparator" w:id="0">
    <w:p w:rsidR="00E342FB" w:rsidRDefault="00E342FB" w:rsidP="00E3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36E" w:rsidRDefault="0014736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14736E" w:rsidRDefault="0014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2FB" w:rsidRDefault="00E342FB" w:rsidP="00E342FB">
      <w:r>
        <w:separator/>
      </w:r>
    </w:p>
  </w:footnote>
  <w:footnote w:type="continuationSeparator" w:id="0">
    <w:p w:rsidR="00E342FB" w:rsidRDefault="00E342FB" w:rsidP="00E34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2FB" w:rsidRDefault="00E342FB" w:rsidP="00E342FB">
    <w:pPr>
      <w:pStyle w:val="Header"/>
      <w:pBdr>
        <w:top w:val="single" w:sz="4" w:space="1" w:color="auto"/>
        <w:left w:val="single" w:sz="4" w:space="4" w:color="auto"/>
        <w:bottom w:val="single" w:sz="4" w:space="1" w:color="auto"/>
        <w:right w:val="single" w:sz="4" w:space="4" w:color="auto"/>
      </w:pBdr>
      <w:jc w:val="center"/>
      <w:rPr>
        <w:b/>
        <w:szCs w:val="20"/>
      </w:rPr>
    </w:pPr>
    <w:r>
      <w:rPr>
        <w:b/>
      </w:rPr>
      <w:t>WOODSTOCK PUBLIC SCHOOLS</w:t>
    </w:r>
  </w:p>
  <w:p w:rsidR="00E342FB" w:rsidRDefault="00E342FB" w:rsidP="00E342FB">
    <w:pPr>
      <w:pStyle w:val="Header"/>
      <w:pBdr>
        <w:top w:val="single" w:sz="4" w:space="1" w:color="auto"/>
        <w:left w:val="single" w:sz="4" w:space="4" w:color="auto"/>
        <w:bottom w:val="single" w:sz="4" w:space="1" w:color="auto"/>
        <w:right w:val="single" w:sz="4" w:space="4" w:color="auto"/>
      </w:pBdr>
      <w:jc w:val="center"/>
      <w:rPr>
        <w:rFonts w:ascii="CG Times" w:hAnsi="CG Times"/>
        <w:b/>
      </w:rPr>
    </w:pPr>
    <w:r>
      <w:rPr>
        <w:b/>
      </w:rPr>
      <w:t>Woodstock, CT 06281</w:t>
    </w:r>
  </w:p>
  <w:p w:rsidR="00E342FB" w:rsidRDefault="00E342FB" w:rsidP="00E342FB">
    <w:pPr>
      <w:pStyle w:val="Header"/>
      <w:pBdr>
        <w:top w:val="single" w:sz="4" w:space="1" w:color="auto"/>
        <w:left w:val="single" w:sz="4" w:space="4" w:color="auto"/>
        <w:bottom w:val="single" w:sz="4" w:space="1" w:color="auto"/>
        <w:right w:val="single" w:sz="4" w:space="4" w:color="auto"/>
      </w:pBdr>
      <w:rPr>
        <w:b/>
      </w:rPr>
    </w:pPr>
    <w:r>
      <w:rPr>
        <w:b/>
      </w:rPr>
      <w:t>Series 4000</w:t>
    </w:r>
  </w:p>
  <w:p w:rsidR="00E342FB" w:rsidRPr="00E342FB" w:rsidRDefault="00E342FB" w:rsidP="00E342FB">
    <w:pPr>
      <w:pStyle w:val="Header"/>
      <w:pBdr>
        <w:top w:val="single" w:sz="4" w:space="1" w:color="auto"/>
        <w:left w:val="single" w:sz="4" w:space="4" w:color="auto"/>
        <w:bottom w:val="single" w:sz="4" w:space="1" w:color="auto"/>
        <w:right w:val="single" w:sz="4" w:space="4" w:color="auto"/>
      </w:pBdr>
      <w:rPr>
        <w:b/>
      </w:rPr>
    </w:pPr>
    <w:r>
      <w:rPr>
        <w:b/>
      </w:rPr>
      <w:t>Personnel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cs="Times New Roman"/>
        <w:sz w:val="24"/>
        <w:szCs w:val="24"/>
      </w:rPr>
    </w:lvl>
  </w:abstractNum>
  <w:abstractNum w:abstractNumId="1" w15:restartNumberingAfterBreak="0">
    <w:nsid w:val="00000002"/>
    <w:multiLevelType w:val="singleLevel"/>
    <w:tmpl w:val="00000000"/>
    <w:lvl w:ilvl="0">
      <w:start w:val="1"/>
      <w:numFmt w:val="decimal"/>
      <w:pStyle w:val="Quick1"/>
      <w:lvlText w:val="%1."/>
      <w:lvlJc w:val="left"/>
      <w:pPr>
        <w:tabs>
          <w:tab w:val="num" w:pos="1440"/>
        </w:tabs>
      </w:pPr>
    </w:lvl>
  </w:abstractNum>
  <w:abstractNum w:abstractNumId="2" w15:restartNumberingAfterBreak="0">
    <w:nsid w:val="00000003"/>
    <w:multiLevelType w:val="singleLevel"/>
    <w:tmpl w:val="00000000"/>
    <w:lvl w:ilvl="0">
      <w:start w:val="1"/>
      <w:numFmt w:val="lowerLetter"/>
      <w:pStyle w:val="Quicka0"/>
      <w:lvlText w:val="%1."/>
      <w:lvlJc w:val="left"/>
      <w:pPr>
        <w:tabs>
          <w:tab w:val="num" w:pos="2160"/>
        </w:tabs>
      </w:pPr>
    </w:lvl>
  </w:abstractNum>
  <w:num w:numId="1">
    <w:abstractNumId w:val="0"/>
    <w:lvlOverride w:ilvl="0">
      <w:startOverride w:val="1"/>
      <w:lvl w:ilvl="0">
        <w:start w:val="1"/>
        <w:numFmt w:val="upperLetter"/>
        <w:pStyle w:val="QuickA"/>
        <w:lvlText w:val="%1."/>
        <w:lvlJc w:val="left"/>
      </w:lvl>
    </w:lvlOverride>
  </w:num>
  <w:num w:numId="2">
    <w:abstractNumId w:val="1"/>
    <w:lvlOverride w:ilvl="0">
      <w:startOverride w:val="1"/>
      <w:lvl w:ilvl="0">
        <w:start w:val="1"/>
        <w:numFmt w:val="decimal"/>
        <w:pStyle w:val="Quick1"/>
        <w:lvlText w:val="%1."/>
        <w:lvlJc w:val="left"/>
      </w:lvl>
    </w:lvlOverride>
  </w:num>
  <w:num w:numId="3">
    <w:abstractNumId w:val="2"/>
    <w:lvlOverride w:ilvl="0">
      <w:startOverride w:val="1"/>
      <w:lvl w:ilvl="0">
        <w:start w:val="1"/>
        <w:numFmt w:val="lowerLetter"/>
        <w:pStyle w:val="Quicka0"/>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5E11"/>
    <w:rsid w:val="0014736E"/>
    <w:rsid w:val="00212CAB"/>
    <w:rsid w:val="002B53FB"/>
    <w:rsid w:val="00825E11"/>
    <w:rsid w:val="00E3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EC911"/>
  <w14:defaultImageDpi w14:val="0"/>
  <w15:docId w15:val="{A153DC0B-1FDE-49CF-8D1D-936B2EF9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A">
    <w:name w:val="Quick A."/>
    <w:basedOn w:val="Normal"/>
    <w:uiPriority w:val="99"/>
    <w:pPr>
      <w:numPr>
        <w:numId w:val="1"/>
      </w:numPr>
      <w:ind w:left="720" w:hanging="720"/>
    </w:pPr>
  </w:style>
  <w:style w:type="paragraph" w:customStyle="1" w:styleId="Quick1">
    <w:name w:val="Quick 1."/>
    <w:basedOn w:val="Normal"/>
    <w:uiPriority w:val="99"/>
    <w:pPr>
      <w:numPr>
        <w:numId w:val="2"/>
      </w:numPr>
      <w:ind w:left="1440" w:hanging="720"/>
    </w:pPr>
  </w:style>
  <w:style w:type="paragraph" w:customStyle="1" w:styleId="Quicka0">
    <w:name w:val="Quick a."/>
    <w:basedOn w:val="Normal"/>
    <w:uiPriority w:val="99"/>
    <w:pPr>
      <w:numPr>
        <w:numId w:val="3"/>
      </w:numPr>
      <w:ind w:left="2160" w:hanging="720"/>
    </w:pPr>
  </w:style>
  <w:style w:type="paragraph" w:styleId="Header">
    <w:name w:val="header"/>
    <w:basedOn w:val="Normal"/>
    <w:link w:val="HeaderChar"/>
    <w:unhideWhenUsed/>
    <w:rsid w:val="00E342FB"/>
    <w:pPr>
      <w:tabs>
        <w:tab w:val="center" w:pos="4680"/>
        <w:tab w:val="right" w:pos="9360"/>
      </w:tabs>
    </w:pPr>
  </w:style>
  <w:style w:type="character" w:customStyle="1" w:styleId="HeaderChar">
    <w:name w:val="Header Char"/>
    <w:link w:val="Header"/>
    <w:rsid w:val="00E342FB"/>
    <w:rPr>
      <w:rFonts w:ascii="Times New Roman" w:hAnsi="Times New Roman" w:cs="Times New Roman"/>
      <w:sz w:val="24"/>
      <w:szCs w:val="24"/>
    </w:rPr>
  </w:style>
  <w:style w:type="paragraph" w:styleId="Footer">
    <w:name w:val="footer"/>
    <w:basedOn w:val="Normal"/>
    <w:link w:val="FooterChar"/>
    <w:uiPriority w:val="99"/>
    <w:unhideWhenUsed/>
    <w:rsid w:val="00E342FB"/>
    <w:pPr>
      <w:tabs>
        <w:tab w:val="center" w:pos="4680"/>
        <w:tab w:val="right" w:pos="9360"/>
      </w:tabs>
    </w:pPr>
  </w:style>
  <w:style w:type="character" w:customStyle="1" w:styleId="FooterChar">
    <w:name w:val="Footer Char"/>
    <w:link w:val="Footer"/>
    <w:uiPriority w:val="99"/>
    <w:rsid w:val="00E342F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69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Milanese</dc:creator>
  <cp:keywords/>
  <dc:description/>
  <cp:lastModifiedBy>Katrina Milanese</cp:lastModifiedBy>
  <cp:revision>5</cp:revision>
  <dcterms:created xsi:type="dcterms:W3CDTF">2018-12-21T14:03:00Z</dcterms:created>
  <dcterms:modified xsi:type="dcterms:W3CDTF">2018-12-21T14:17:00Z</dcterms:modified>
</cp:coreProperties>
</file>