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April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meeting of the AC/GC Booster Club was held on April 3, 2019 in the high school library.  There were seven members and one guest, Joanne Byars, in attendance.   President Kim Betts called the meeting to order.  Julie Plowman read the minutes of the previous meeting.  Crystal Hanson presented the Treasurer’s Report.  Both reports were approved.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were no funding requests approved this past month.</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Old Business it was reported two 10’ x 20’ tents with the CHARGER logo had been ordered, via booster club member’s email approval, since the last meeting.  The tents can be used by various teams at outdoor events.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New Business it was agreed to continue the donation of bottled water to both elementary schools for their annual spring track and field day.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to the annual activity calendar were discussed.  The calendars will no longer have a listing of activities and dates.  The senior picture will be enlarged to accommodate for the extra space.  The poster will be one-sided.  All sponsorship ad sizes will remain the same as last year.  The poster will now be referred to as the CHARGER Pride Poster.  Pocket calendars will no longer be offered.  Julie Plowman made a motion to accept these changes.  Melissa Shadlow seconded the motion.  Motion passed unanimously.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Also in New Business it was voted unanimously to continue the donation of two T.V.’s to the After Prom Party.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also voted unanimously to purchase three picnic tables to replace the current tables at the outdoor concession stand.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Toni Colling, reported a new food item will be tried out in the concession stand during track season.   </w:t>
      </w:r>
      <w:r w:rsidDel="00000000" w:rsidR="00000000" w:rsidRPr="00000000">
        <w:rPr>
          <w:rtl w:val="0"/>
        </w:rPr>
        <w:t xml:space="preserve">Toni will research the possible change from fajitas to chicken spiedle sandwiches.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sandwiches are popular, and ingredient cost/availability is sufficient, the </w:t>
      </w:r>
      <w:r w:rsidDel="00000000" w:rsidR="00000000" w:rsidRPr="00000000">
        <w:rPr>
          <w:rtl w:val="0"/>
        </w:rPr>
        <w:t xml:space="preserve">sandwiches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become a regular menu item.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Lastly, it was decided to keep the requirements for the senior scholarship the same as in the past.  Applications for the Senior Class of 2020 will be handed out on the day of the senior picture for the CHARGER Pride Poster.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Julie Plowman made a motion to adjourn the meeting and Crystal Hanson seconded the motion.  The next meeting will be held on May 1st at 6:00 in the high school library.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Respectfully submitted,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Julie Plowman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