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2">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WALWORTH POLICY: 260</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TEMPORARY ADMINISTRATIVE ARRANGEMENTS</w:t>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any organization, it is important that the responsibility for decision-making be clearly established in the event of the absence of the District Administrator.</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District Administrator is absent from the District, the Administrator will assign a designee to serve as the acting administrator.  Any decisions that need to be made before the return of the District Administrator will be the responsibility of the designee, with the support of the District Administrator.</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of a long-term absence of the District Administrator the Board of Education will appoint a designee to serve as the acting administrator.</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Walworth Jt. District #1 does not discriminate on admissions to any school, class, program, or activity on the basis of sex, gender identification, race, religion, national origin, creed, pregnancy, marital status, parental status, sexual orientation, or physical, learning, emotional or mental disability.  All discrimination complaints shall be processed in accordance with established procedures.</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ADOPTED:   </w:t>
      </w:r>
      <w:r w:rsidDel="00000000" w:rsidR="00000000" w:rsidRPr="00000000">
        <w:rPr>
          <w:rFonts w:ascii="Times New Roman" w:cs="Times New Roman" w:eastAsia="Times New Roman" w:hAnsi="Times New Roman"/>
          <w:sz w:val="24"/>
          <w:szCs w:val="24"/>
          <w:rtl w:val="0"/>
        </w:rPr>
        <w:t xml:space="preserve">        </w:t>
        <w:tab/>
        <w:t xml:space="preserve">August 11, 1997</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REVISED:</w:t>
      </w:r>
      <w:r w:rsidDel="00000000" w:rsidR="00000000" w:rsidRPr="00000000">
        <w:rPr>
          <w:rFonts w:ascii="Times New Roman" w:cs="Times New Roman" w:eastAsia="Times New Roman" w:hAnsi="Times New Roman"/>
          <w:sz w:val="24"/>
          <w:szCs w:val="24"/>
          <w:rtl w:val="0"/>
        </w:rPr>
        <w:t xml:space="preserve">             </w:t>
        <w:tab/>
        <w:t xml:space="preserve">December 17, 2001</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April 27, 2015</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July 22, 2019</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