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WALWORTH POLICY 151.1</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ADOPTION, AMENDMENT, AND/OR REVISION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development of a proposed new policy, policy amendment, or a policy revision shall be addressed by the Board Policy committee. After a policy is discussed, reviewed, and finalized by the Board Policy Committee, the policy will be submitted to the Board of Education for final review and/or approval.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Board of Education will utilize a two-part process in the policy adoption process. The first part will involve a first reading of the proposed policy at a regular monthly board meeting. The second part will involve a second reading including formal approval at a separate monthly board meeting.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Board Policy Committee shall annually review and appraise existing policies to ensure that they are in compliance with current laws. State and federal laws shall have legal precedent over any existing Board of Education policy. Furthermore, ongoing review and revision of each board policy will take place at minimum every eight (8) years.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Jt. District #1 does not discriminate on admissions to any school, class, program, or activity on the basis of gender,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ADOPTED: </w:t>
        <w:tab/>
        <w:t xml:space="preserve">July 22, 1996</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REVISED: </w:t>
        <w:tab/>
        <w:tab/>
        <w:t xml:space="preserve">March 17, 2014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