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134</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MEMBER AUTHORITY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business of the Board of Education shall be transacted at legally constituted meetings of the Board of Education. No member shall have the power to act in the name of the Board of Education outside of the legal Board meeting, without specific authority of the Board of Education. Individual Board members should refrain from responding to specific concerns or requests until they have been thoroughly investigated and reported on by the District Administrator. Whenever a concern is made directly to the Board as a whole or to a Board member as in individual, it will be referred to the District Administrator for study and possible solution whenever advisable to do so except if the concern is against the District Administrator.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272727"/>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27272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72727"/>
          <w:sz w:val="24"/>
          <w:szCs w:val="24"/>
          <w:u w:val="none"/>
          <w:shd w:fill="auto" w:val="clear"/>
          <w:vertAlign w:val="baseline"/>
          <w:rtl w:val="0"/>
        </w:rPr>
        <w:t xml:space="preserve">LEGAL REFERENCE: </w:t>
        <w:tab/>
        <w:t xml:space="preserve">Sections 118.13</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Wisconsin Administrative Code PI 9.03</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CROSS REFERENCE: </w:t>
        <w:tab/>
        <w:t xml:space="preserve">Walworth Policy 870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APPROVED: </w:t>
        <w:tab/>
        <w:tab/>
        <w:tab/>
        <w:t xml:space="preserve">September 16, 1991</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REVISED: </w:t>
        <w:tab/>
        <w:tab/>
        <w:tab/>
        <w:t xml:space="preserve">February 24,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