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Walworth Policy 133</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FILLING BOARD VACANCIES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When a vacancy occurs on the Board of Education due to the death or resignation of a Board member, or other cause as outlined by state law, a new member shall be appointed to fill the vacancy for the duration of the current term. Such appointment will be in accordance with state law and established procedures.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Walworth Joint School District #1 does not discriminate in admissions to any school, class, program, or activity on the basis of sex, gender identification, race, national origin, creed, pregnancy, marital or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Legal Reference: </w:t>
        <w:tab/>
        <w:tab/>
        <w:t xml:space="preserve">Wisconsin Statutes 17.03, 17.26, 19.01, 120.06 (4)</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Cross Reference: </w:t>
        <w:tab/>
        <w:tab/>
        <w:t xml:space="preserve">133-Rule: Procedures for Filling Board Vacancies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POLICY ADOPTED: </w:t>
        <w:tab/>
        <w:t xml:space="preserve">October 21, 1991</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POLICY REVISED: </w:t>
        <w:tab/>
        <w:tab/>
        <w:t xml:space="preserve">June 23, 1997</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February 24, 2014</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