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9" w:rsidRPr="00AC7EEA" w:rsidRDefault="00895303" w:rsidP="00F32989">
      <w:pPr>
        <w:pStyle w:val="p"/>
        <w:jc w:val="center"/>
        <w:rPr>
          <w:rFonts w:ascii="Arial" w:eastAsia="Arial" w:hAnsi="Arial" w:cs="Arial"/>
          <w:b/>
          <w:bCs/>
          <w:color w:val="272C2C"/>
          <w:lang w:val="es-MX"/>
        </w:rPr>
      </w:pPr>
      <w:r>
        <w:rPr>
          <w:rFonts w:ascii="Arial" w:eastAsia="Arial" w:hAnsi="Arial" w:cs="Arial"/>
          <w:b/>
          <w:bCs/>
          <w:color w:val="272C2C"/>
          <w:sz w:val="27"/>
          <w:szCs w:val="27"/>
          <w:lang w:val="es-MX"/>
        </w:rPr>
        <w:t xml:space="preserve"> </w:t>
      </w:r>
      <w:r w:rsidRPr="00AC7EEA">
        <w:rPr>
          <w:rFonts w:ascii="Arial" w:eastAsia="Arial" w:hAnsi="Arial" w:cs="Arial"/>
          <w:b/>
          <w:bCs/>
          <w:color w:val="272C2C"/>
          <w:lang w:val="es-MX"/>
        </w:rPr>
        <w:t xml:space="preserve">MESA DIRECTIVA DEL DISTRITO ESCOLAR DE </w:t>
      </w:r>
      <w:r w:rsidR="00D22FE2" w:rsidRPr="00AC7EEA">
        <w:rPr>
          <w:rFonts w:ascii="Arial" w:eastAsia="Arial" w:hAnsi="Arial" w:cs="Arial"/>
          <w:b/>
          <w:bCs/>
          <w:color w:val="272C2C"/>
          <w:lang w:val="es-MX"/>
        </w:rPr>
        <w:t>PIXLEY</w:t>
      </w:r>
    </w:p>
    <w:p w:rsidR="00462BB5" w:rsidRPr="00AC7EEA" w:rsidRDefault="00462BB5" w:rsidP="00F32989">
      <w:pPr>
        <w:pStyle w:val="p"/>
        <w:jc w:val="center"/>
        <w:rPr>
          <w:rFonts w:ascii="Arial" w:eastAsia="Arial" w:hAnsi="Arial" w:cs="Arial"/>
          <w:b/>
          <w:bCs/>
          <w:color w:val="272C2C"/>
          <w:lang w:val="es-MX"/>
        </w:rPr>
      </w:pPr>
    </w:p>
    <w:p w:rsidR="00035EC2" w:rsidRPr="00AC7EEA" w:rsidRDefault="00035EC2" w:rsidP="00F32989">
      <w:pPr>
        <w:pStyle w:val="p"/>
        <w:jc w:val="center"/>
        <w:rPr>
          <w:rFonts w:ascii="Arial" w:eastAsia="Arial" w:hAnsi="Arial" w:cs="Arial"/>
          <w:b/>
          <w:bCs/>
          <w:color w:val="272C2C"/>
          <w:lang w:val="es-MX"/>
        </w:rPr>
      </w:pPr>
      <w:r w:rsidRPr="00AC7EEA">
        <w:rPr>
          <w:rFonts w:ascii="Arial" w:eastAsia="Arial" w:hAnsi="Arial" w:cs="Arial"/>
          <w:b/>
          <w:color w:val="272C2C"/>
          <w:sz w:val="21"/>
          <w:szCs w:val="21"/>
          <w:lang w:val="es-MX"/>
        </w:rPr>
        <w:t>Sesión Cerrada</w:t>
      </w: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AGENDA DE JUNTA REGULAR</w:t>
      </w:r>
    </w:p>
    <w:p w:rsidR="00035EC2" w:rsidRPr="00AC7EEA" w:rsidRDefault="004C4AD8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22</w:t>
      </w:r>
      <w:r w:rsidR="00035EC2"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 de Agosto del 2017</w:t>
      </w:r>
      <w:r w:rsidR="00035EC2" w:rsidRPr="00AC7EEA">
        <w:rPr>
          <w:rFonts w:ascii="Arial" w:eastAsia="Arial" w:hAnsi="Arial" w:cs="Arial"/>
          <w:b/>
          <w:color w:val="272C2C"/>
          <w:sz w:val="21"/>
          <w:szCs w:val="21"/>
          <w:lang w:val="es-MX"/>
        </w:rPr>
        <w:t>, 6:00 PM</w:t>
      </w: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Oficina de Juntas Del Distrito de Pixley</w:t>
      </w: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1690 E. </w:t>
      </w:r>
      <w:proofErr w:type="spellStart"/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Court</w:t>
      </w:r>
      <w:proofErr w:type="spellEnd"/>
      <w:r w:rsidR="00DD2032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 </w:t>
      </w:r>
    </w:p>
    <w:p w:rsidR="00035EC2" w:rsidRPr="00AC7EEA" w:rsidRDefault="00035EC2" w:rsidP="00424C6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Pixley, CA 93256</w:t>
      </w:r>
    </w:p>
    <w:p w:rsidR="00462BB5" w:rsidRPr="00AC7EEA" w:rsidRDefault="00462BB5" w:rsidP="00424C6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b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b/>
          <w:color w:val="272C2C"/>
          <w:sz w:val="21"/>
          <w:szCs w:val="21"/>
          <w:lang w:val="es-MX"/>
        </w:rPr>
        <w:t>Sesión Regular</w:t>
      </w:r>
    </w:p>
    <w:p w:rsidR="00035EC2" w:rsidRPr="00AC7EEA" w:rsidRDefault="004C4AD8" w:rsidP="004C4AD8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22 </w:t>
      </w:r>
      <w:r w:rsidR="00035EC2"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de Agosto, 2017 </w:t>
      </w:r>
      <w:r w:rsidR="00035EC2" w:rsidRPr="00AC7EEA">
        <w:rPr>
          <w:rFonts w:ascii="Arial" w:eastAsia="Arial" w:hAnsi="Arial" w:cs="Arial"/>
          <w:b/>
          <w:color w:val="272C2C"/>
          <w:sz w:val="21"/>
          <w:szCs w:val="21"/>
          <w:lang w:val="es-MX"/>
        </w:rPr>
        <w:t>6:30 PM</w:t>
      </w: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Oficina de Juntas Del Distrito de Pixley</w:t>
      </w:r>
    </w:p>
    <w:p w:rsidR="00035EC2" w:rsidRPr="00AC7EEA" w:rsidRDefault="00035EC2" w:rsidP="00035EC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1690 E. </w:t>
      </w:r>
      <w:proofErr w:type="spellStart"/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Court</w:t>
      </w:r>
      <w:proofErr w:type="spellEnd"/>
      <w:r w:rsidR="00482391"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 xml:space="preserve"> </w:t>
      </w:r>
    </w:p>
    <w:p w:rsidR="00035EC2" w:rsidRPr="00AC7EEA" w:rsidRDefault="00035EC2" w:rsidP="00424C6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  <w:r w:rsidRPr="00AC7EEA">
        <w:rPr>
          <w:rFonts w:ascii="Arial" w:eastAsia="Arial" w:hAnsi="Arial" w:cs="Arial"/>
          <w:color w:val="272C2C"/>
          <w:sz w:val="21"/>
          <w:szCs w:val="21"/>
          <w:lang w:val="es-MX"/>
        </w:rPr>
        <w:t>Pixley, CA 93256</w:t>
      </w:r>
    </w:p>
    <w:p w:rsidR="00955180" w:rsidRPr="00AC7EEA" w:rsidRDefault="00955180" w:rsidP="00424C62">
      <w:pPr>
        <w:pStyle w:val="p"/>
        <w:contextualSpacing/>
        <w:jc w:val="center"/>
        <w:rPr>
          <w:rFonts w:ascii="Arial" w:eastAsia="Arial" w:hAnsi="Arial" w:cs="Arial"/>
          <w:color w:val="272C2C"/>
          <w:sz w:val="21"/>
          <w:szCs w:val="21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  <w:gridCol w:w="7"/>
      </w:tblGrid>
      <w:tr w:rsidR="005C5EFD" w:rsidRPr="00AC7EEA" w:rsidTr="00955180">
        <w:tc>
          <w:tcPr>
            <w:tcW w:w="10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EFD" w:rsidRPr="002966EA" w:rsidRDefault="005C5EFD" w:rsidP="00633557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1.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  </w:t>
            </w:r>
            <w:r w:rsidR="004C4D72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Llamado de L</w:t>
            </w:r>
            <w:r w:rsidR="00895303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ista</w:t>
            </w:r>
            <w:r w:rsidR="00D22FE2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</w:t>
            </w:r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(sesión cerrada </w:t>
            </w:r>
            <w:r w:rsidR="006645E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6:0</w:t>
            </w:r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0PM </w:t>
            </w:r>
            <w:r w:rsidR="00D22FE2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En el salón de juntas)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FD" w:rsidRPr="00AC7EEA" w:rsidRDefault="005C5EFD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lang w:val="es-MX"/>
              </w:rPr>
            </w:pPr>
          </w:p>
        </w:tc>
      </w:tr>
      <w:tr w:rsidR="005C5EFD" w:rsidRPr="00AC7EEA" w:rsidTr="00955180">
        <w:trPr>
          <w:trHeight w:val="1557"/>
        </w:trPr>
        <w:tc>
          <w:tcPr>
            <w:tcW w:w="10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EFD" w:rsidRPr="002966EA" w:rsidRDefault="005C5EFD" w:rsidP="00895303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2.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  </w:t>
            </w:r>
            <w:r w:rsidR="00967555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Adaptación</w:t>
            </w:r>
            <w:r w:rsidR="00895303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de </w:t>
            </w: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Agenda</w:t>
            </w:r>
          </w:p>
          <w:p w:rsidR="00633557" w:rsidRPr="002966EA" w:rsidRDefault="00633557" w:rsidP="00633557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3.  Ir a Sesión Cerrada </w:t>
            </w:r>
          </w:p>
          <w:p w:rsidR="00633557" w:rsidRPr="002966EA" w:rsidRDefault="00633557" w:rsidP="00633557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 3.1   Empleo, transferencias, despido de empleados Certificado/Clasificados</w:t>
            </w:r>
          </w:p>
          <w:p w:rsidR="00633557" w:rsidRPr="002966EA" w:rsidRDefault="00406CCA" w:rsidP="00406CCA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4.  Regresar a sesión abierta</w:t>
            </w:r>
            <w:r w:rsidR="00286257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</w:t>
            </w:r>
            <w:r w:rsidR="00286257" w:rsidRPr="00286257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(</w:t>
            </w:r>
            <w:r w:rsidR="00286257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abierta </w:t>
            </w:r>
            <w:bookmarkStart w:id="0" w:name="_GoBack"/>
            <w:bookmarkEnd w:id="0"/>
            <w:r w:rsidR="00286257" w:rsidRPr="00286257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cerrada 6:00PM  En el salón de juntas)</w:t>
            </w:r>
          </w:p>
          <w:p w:rsidR="00406CCA" w:rsidRPr="002966EA" w:rsidRDefault="00406CCA" w:rsidP="00406CCA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4.1. Reporte de Sesión Cerrada</w:t>
            </w:r>
          </w:p>
          <w:p w:rsidR="00D22FE2" w:rsidRPr="002966EA" w:rsidRDefault="00406CCA" w:rsidP="00895303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5</w:t>
            </w:r>
            <w:r w:rsidR="00D22FE2" w:rsidRPr="002966EA">
              <w:rPr>
                <w:rStyle w:val="b"/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  Saludo a la Bandera</w:t>
            </w:r>
          </w:p>
          <w:p w:rsidR="00D22FE2" w:rsidRPr="002966EA" w:rsidRDefault="00406CCA" w:rsidP="00895303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6</w:t>
            </w:r>
            <w:r w:rsidR="00D22FE2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.  Relación Comunitaria</w:t>
            </w:r>
          </w:p>
          <w:p w:rsidR="00D22FE2" w:rsidRPr="002966EA" w:rsidRDefault="00633557" w:rsidP="00633557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6</w:t>
            </w:r>
            <w:r w:rsidR="0083793C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.1.</w:t>
            </w:r>
            <w:r w:rsidR="00D22FE2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Comentarios Públicos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FD" w:rsidRPr="00AC7EEA" w:rsidRDefault="005C5EFD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lang w:val="es-MX"/>
              </w:rPr>
            </w:pPr>
          </w:p>
        </w:tc>
      </w:tr>
      <w:tr w:rsidR="005C5EFD" w:rsidRPr="00AC7EEA" w:rsidTr="00955180">
        <w:trPr>
          <w:trHeight w:val="1116"/>
        </w:trPr>
        <w:tc>
          <w:tcPr>
            <w:tcW w:w="10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57" w:rsidRPr="002966EA" w:rsidRDefault="004C4AD8" w:rsidP="00633557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7</w:t>
            </w:r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  Temas Informativos</w:t>
            </w:r>
          </w:p>
          <w:p w:rsidR="00633557" w:rsidRPr="002966EA" w:rsidRDefault="0083793C" w:rsidP="00633557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</w:t>
            </w:r>
            <w:r w:rsidR="004C4AD8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7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.1.  </w:t>
            </w:r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Superintendente - </w:t>
            </w:r>
            <w:proofErr w:type="spellStart"/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Heather</w:t>
            </w:r>
            <w:proofErr w:type="spellEnd"/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63355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Elick</w:t>
            </w:r>
            <w:proofErr w:type="spellEnd"/>
          </w:p>
          <w:p w:rsidR="00FD5E83" w:rsidRPr="002966EA" w:rsidRDefault="00FD5E83" w:rsidP="00633557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         </w:t>
            </w:r>
            <w:r w:rsidR="005073C1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7</w:t>
            </w:r>
            <w:r w:rsidR="00955180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.1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.1.  </w:t>
            </w:r>
            <w:r w:rsidR="004C4AD8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Plan de Control de Responsabilidad</w:t>
            </w:r>
            <w:r w:rsidR="00462BB5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Local</w:t>
            </w:r>
          </w:p>
          <w:p w:rsidR="00475AFC" w:rsidRPr="002966EA" w:rsidRDefault="00FD5E83" w:rsidP="00FD5E83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         </w:t>
            </w:r>
            <w:r w:rsidR="005073C1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7</w:t>
            </w:r>
            <w:r w:rsidR="00955180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.1</w:t>
            </w:r>
            <w:r w:rsidR="00406CCA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.2</w:t>
            </w:r>
            <w:r w:rsidR="004C4AD8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.  </w:t>
            </w:r>
            <w:r w:rsidR="00F06CBF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Participación</w:t>
            </w:r>
            <w:r w:rsidR="004C4AD8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de Estudiantes en CAASPP</w:t>
            </w:r>
          </w:p>
          <w:p w:rsidR="00406CCA" w:rsidRPr="002966EA" w:rsidRDefault="005073C1" w:rsidP="00FD5E83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7.2</w:t>
            </w:r>
            <w:r w:rsidR="00406CCA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  Reporte de Presupuesto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Clases de Verano</w:t>
            </w:r>
          </w:p>
          <w:p w:rsidR="005F2632" w:rsidRPr="002966EA" w:rsidRDefault="00475AFC" w:rsidP="005073C1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</w:t>
            </w:r>
            <w:r w:rsidR="005073C1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7.3</w:t>
            </w:r>
            <w:r w:rsidR="00FD0A3C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.  </w:t>
            </w: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Reportes de </w:t>
            </w:r>
            <w:r w:rsidR="005073C1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Gastos de Proyectos</w:t>
            </w:r>
            <w:r w:rsidR="00FD5E83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 xml:space="preserve">      </w:t>
            </w:r>
          </w:p>
          <w:p w:rsidR="00652665" w:rsidRPr="002966EA" w:rsidRDefault="005073C1" w:rsidP="005073C1">
            <w:pPr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8</w:t>
            </w:r>
            <w:r w:rsidR="004345B7" w:rsidRPr="002966EA">
              <w:rPr>
                <w:rFonts w:ascii="Arial" w:eastAsia="Arial" w:hAnsi="Arial" w:cs="Arial"/>
                <w:b/>
                <w:bCs/>
                <w:color w:val="272C2C"/>
                <w:sz w:val="22"/>
                <w:szCs w:val="22"/>
                <w:lang w:val="es-MX"/>
              </w:rPr>
              <w:t>.   Tema de Acción/Discusión</w:t>
            </w:r>
          </w:p>
          <w:p w:rsidR="00AC7EEA" w:rsidRPr="002966EA" w:rsidRDefault="00424C62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</w:t>
            </w:r>
            <w:r w:rsidR="005073C1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8.1</w:t>
            </w:r>
            <w:r w:rsidR="00511581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. Contrato para los servicio del Oficial Escola</w:t>
            </w:r>
            <w:r w:rsidR="00AC7EEA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r con el Sheriff del Condado de</w:t>
            </w:r>
          </w:p>
          <w:p w:rsidR="00511581" w:rsidRPr="002966EA" w:rsidRDefault="00AC7EEA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       </w:t>
            </w:r>
            <w:r w:rsidR="00511581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Tulare</w:t>
            </w:r>
          </w:p>
          <w:p w:rsidR="00406CCA" w:rsidRPr="002966EA" w:rsidRDefault="005073C1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8</w:t>
            </w:r>
            <w:r w:rsidR="00406CCA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.</w:t>
            </w: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2</w:t>
            </w:r>
            <w:r w:rsidR="00035EC2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. </w:t>
            </w: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Servicios profesionales Contrato de Elegibilidad con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SchoolWorks</w:t>
            </w:r>
            <w:proofErr w:type="spellEnd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</w:t>
            </w:r>
          </w:p>
          <w:p w:rsidR="005073C1" w:rsidRPr="002966EA" w:rsidRDefault="005073C1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8.3. Estudio de </w:t>
            </w:r>
            <w:r w:rsidR="00F06CBF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Desarrollo</w:t>
            </w: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Inc.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SchoolWorks</w:t>
            </w:r>
            <w:proofErr w:type="spellEnd"/>
          </w:p>
          <w:p w:rsidR="00AC7EEA" w:rsidRPr="002966EA" w:rsidRDefault="005073C1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8.4. </w:t>
            </w:r>
            <w:r w:rsidR="00F06CBF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Carta de Acuerdo entre La Asociación de Emp</w:t>
            </w:r>
            <w:r w:rsidR="00AC7EEA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leados y el Distrito Escolar de</w:t>
            </w:r>
          </w:p>
          <w:p w:rsidR="005073C1" w:rsidRPr="002966EA" w:rsidRDefault="00AC7EEA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       </w:t>
            </w:r>
            <w:r w:rsidR="00F06CBF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Pixley</w:t>
            </w:r>
          </w:p>
          <w:p w:rsidR="00AC7EEA" w:rsidRPr="002966EA" w:rsidRDefault="00F06CBF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8.5. Actualización del Sistema de Teléfonos del Dis</w:t>
            </w:r>
            <w:r w:rsidR="00AC7EEA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trito y Escuela Elementary West</w:t>
            </w:r>
          </w:p>
          <w:p w:rsidR="00F06CBF" w:rsidRPr="002966EA" w:rsidRDefault="00AC7EEA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       </w:t>
            </w:r>
            <w:proofErr w:type="spellStart"/>
            <w:r w:rsidR="00F06CBF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Communications</w:t>
            </w:r>
            <w:proofErr w:type="spellEnd"/>
          </w:p>
          <w:p w:rsidR="00F06CBF" w:rsidRPr="002966EA" w:rsidRDefault="00F06CBF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</w:t>
            </w:r>
            <w:r w:rsid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8.6. </w:t>
            </w: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Consideración del Club de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Music</w:t>
            </w:r>
            <w:proofErr w:type="spellEnd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Booster</w:t>
            </w:r>
            <w:proofErr w:type="spellEnd"/>
          </w:p>
          <w:p w:rsidR="00F06CBF" w:rsidRPr="002966EA" w:rsidRDefault="00F06CBF" w:rsidP="00DF6C30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</w:t>
            </w:r>
            <w:r w:rsid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8.7. </w:t>
            </w:r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2nd Lectura/Aprobación de Pólizas California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School</w:t>
            </w:r>
            <w:proofErr w:type="spellEnd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Board</w:t>
            </w:r>
            <w:proofErr w:type="spellEnd"/>
          </w:p>
          <w:p w:rsidR="00453904" w:rsidRPr="002966EA" w:rsidRDefault="00921B3E" w:rsidP="00652665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9</w:t>
            </w:r>
            <w:r w:rsidR="00453904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>. Fin de junta</w:t>
            </w:r>
          </w:p>
          <w:p w:rsidR="00D22FE2" w:rsidRPr="002966EA" w:rsidRDefault="00453904" w:rsidP="00DD2032">
            <w:pPr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</w:pPr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Aviso: todos los documentos están disponibles al público para revisión, si usted justa copia de los documentos de temas de sesión abierta favor de venir a la oficina del distrito durante horas de trabajo localizada en el 1690 E. </w:t>
            </w:r>
            <w:proofErr w:type="spellStart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Court</w:t>
            </w:r>
            <w:proofErr w:type="spellEnd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 Street, </w:t>
            </w:r>
            <w:proofErr w:type="spellStart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Pixley</w:t>
            </w:r>
            <w:proofErr w:type="spellEnd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. Todo tipo de material escrito está disponible a revisión publica así como disponible a empleados o miembros de la mesa directiva antes y durante la junta.</w:t>
            </w:r>
            <w:r w:rsidR="00AC7EEA"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 </w:t>
            </w:r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Para cumplir con los requisitos del acto de </w:t>
            </w:r>
            <w:proofErr w:type="spellStart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Disabilidad</w:t>
            </w:r>
            <w:proofErr w:type="spellEnd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Act</w:t>
            </w:r>
            <w:proofErr w:type="spellEnd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 Brown, si usted necesita asistencia especial para participar en esta junta así como documentos de la agenda, favor de contactar a la oficina del distrito al  (559) 757-5207. Favor de darnos una notificación antes de 48 horas de la junta para tener tiempo y acomodar sus necesidades  (28CFR35.102-35, 104 ADA </w:t>
            </w:r>
            <w:proofErr w:type="spellStart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>Title</w:t>
            </w:r>
            <w:proofErr w:type="spellEnd"/>
            <w:r w:rsidRPr="002966EA">
              <w:rPr>
                <w:rFonts w:ascii="Arial" w:eastAsia="Arial" w:hAnsi="Arial" w:cs="Arial"/>
                <w:color w:val="272C2C"/>
                <w:sz w:val="18"/>
                <w:szCs w:val="18"/>
                <w:lang w:val="es-MX"/>
              </w:rPr>
              <w:t xml:space="preserve"> II),</w:t>
            </w:r>
            <w:r w:rsidR="003B7F84" w:rsidRPr="002966EA">
              <w:rPr>
                <w:rFonts w:ascii="Arial" w:eastAsia="Arial" w:hAnsi="Arial" w:cs="Arial"/>
                <w:b/>
                <w:color w:val="272C2C"/>
                <w:sz w:val="22"/>
                <w:szCs w:val="22"/>
                <w:lang w:val="es-MX"/>
              </w:rPr>
              <w:t xml:space="preserve">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FD" w:rsidRPr="00AC7EEA" w:rsidRDefault="005C5EFD">
            <w:pPr>
              <w:rPr>
                <w:rStyle w:val="b"/>
                <w:rFonts w:ascii="Arial" w:eastAsia="Arial" w:hAnsi="Arial" w:cs="Arial"/>
                <w:b/>
                <w:bCs/>
                <w:color w:val="272C2C"/>
                <w:sz w:val="20"/>
                <w:szCs w:val="20"/>
                <w:lang w:val="es-MX"/>
              </w:rPr>
            </w:pPr>
          </w:p>
        </w:tc>
      </w:tr>
      <w:tr w:rsidR="00955180" w:rsidRPr="00AC7EEA" w:rsidTr="00955180">
        <w:trPr>
          <w:trHeight w:val="68"/>
        </w:trPr>
        <w:tc>
          <w:tcPr>
            <w:tcW w:w="10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80" w:rsidRPr="00AC7EEA" w:rsidRDefault="00955180" w:rsidP="00633557">
            <w:pPr>
              <w:rPr>
                <w:rFonts w:ascii="Arial" w:eastAsia="Arial" w:hAnsi="Arial" w:cs="Arial"/>
                <w:b/>
                <w:i/>
                <w:color w:val="272C2C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5180" w:rsidRPr="00AC7EEA" w:rsidRDefault="00955180">
            <w:pPr>
              <w:rPr>
                <w:rStyle w:val="b"/>
                <w:rFonts w:ascii="Arial" w:eastAsia="Arial" w:hAnsi="Arial" w:cs="Arial"/>
                <w:b/>
                <w:bCs/>
                <w:i/>
                <w:color w:val="272C2C"/>
                <w:sz w:val="20"/>
                <w:szCs w:val="20"/>
                <w:lang w:val="es-MX"/>
              </w:rPr>
            </w:pPr>
          </w:p>
        </w:tc>
      </w:tr>
    </w:tbl>
    <w:p w:rsidR="005C5EFD" w:rsidRPr="00AC7EEA" w:rsidRDefault="005C5EFD">
      <w:pPr>
        <w:rPr>
          <w:rFonts w:ascii="Arial" w:hAnsi="Arial" w:cs="Arial"/>
          <w:b/>
          <w:lang w:val="es-MX"/>
        </w:rPr>
      </w:pPr>
    </w:p>
    <w:sectPr w:rsidR="005C5EFD" w:rsidRPr="00AC7EEA" w:rsidSect="00462BB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5EC2"/>
    <w:rsid w:val="0009373D"/>
    <w:rsid w:val="000D3D7D"/>
    <w:rsid w:val="001256DB"/>
    <w:rsid w:val="00143315"/>
    <w:rsid w:val="00192142"/>
    <w:rsid w:val="001A4AF5"/>
    <w:rsid w:val="001C6A69"/>
    <w:rsid w:val="001D45DE"/>
    <w:rsid w:val="001F20CD"/>
    <w:rsid w:val="00286257"/>
    <w:rsid w:val="002966EA"/>
    <w:rsid w:val="002D6BF6"/>
    <w:rsid w:val="002D7DDB"/>
    <w:rsid w:val="003223F9"/>
    <w:rsid w:val="0037360C"/>
    <w:rsid w:val="003B24A9"/>
    <w:rsid w:val="003B7F84"/>
    <w:rsid w:val="00404030"/>
    <w:rsid w:val="00406CCA"/>
    <w:rsid w:val="00424C62"/>
    <w:rsid w:val="004345B7"/>
    <w:rsid w:val="00453904"/>
    <w:rsid w:val="00462BB5"/>
    <w:rsid w:val="00474948"/>
    <w:rsid w:val="00475AFC"/>
    <w:rsid w:val="00482391"/>
    <w:rsid w:val="00490B13"/>
    <w:rsid w:val="004A3D15"/>
    <w:rsid w:val="004A40FC"/>
    <w:rsid w:val="004C4AD8"/>
    <w:rsid w:val="004C4D72"/>
    <w:rsid w:val="004D0DBE"/>
    <w:rsid w:val="004D5766"/>
    <w:rsid w:val="004D791C"/>
    <w:rsid w:val="005073C1"/>
    <w:rsid w:val="00510533"/>
    <w:rsid w:val="00511581"/>
    <w:rsid w:val="00532754"/>
    <w:rsid w:val="00581BDA"/>
    <w:rsid w:val="00592994"/>
    <w:rsid w:val="005C5EFD"/>
    <w:rsid w:val="005F2632"/>
    <w:rsid w:val="00633557"/>
    <w:rsid w:val="00652665"/>
    <w:rsid w:val="006645E7"/>
    <w:rsid w:val="00723BC9"/>
    <w:rsid w:val="008161D2"/>
    <w:rsid w:val="0083793C"/>
    <w:rsid w:val="00895303"/>
    <w:rsid w:val="0091427C"/>
    <w:rsid w:val="00921B3E"/>
    <w:rsid w:val="00955180"/>
    <w:rsid w:val="00967555"/>
    <w:rsid w:val="009E72E0"/>
    <w:rsid w:val="00A34B29"/>
    <w:rsid w:val="00A77B3E"/>
    <w:rsid w:val="00AC7EEA"/>
    <w:rsid w:val="00B15B74"/>
    <w:rsid w:val="00B5574B"/>
    <w:rsid w:val="00B730E3"/>
    <w:rsid w:val="00B751F2"/>
    <w:rsid w:val="00B85938"/>
    <w:rsid w:val="00BA2855"/>
    <w:rsid w:val="00BA2FE7"/>
    <w:rsid w:val="00CB1ECD"/>
    <w:rsid w:val="00CE493F"/>
    <w:rsid w:val="00D01985"/>
    <w:rsid w:val="00D22FE2"/>
    <w:rsid w:val="00D51891"/>
    <w:rsid w:val="00D84D0A"/>
    <w:rsid w:val="00DC042C"/>
    <w:rsid w:val="00DD2032"/>
    <w:rsid w:val="00DF6C30"/>
    <w:rsid w:val="00E9331C"/>
    <w:rsid w:val="00E94DDA"/>
    <w:rsid w:val="00EA17E2"/>
    <w:rsid w:val="00EB02E0"/>
    <w:rsid w:val="00EC21C1"/>
    <w:rsid w:val="00EF7FD7"/>
    <w:rsid w:val="00F06CBF"/>
    <w:rsid w:val="00F21AE2"/>
    <w:rsid w:val="00F32989"/>
    <w:rsid w:val="00F56B1B"/>
    <w:rsid w:val="00FD0A3C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</w:style>
  <w:style w:type="character" w:customStyle="1" w:styleId="Strong1">
    <w:name w:val="Strong1"/>
    <w:basedOn w:val="DefaultParagraphFont"/>
  </w:style>
  <w:style w:type="character" w:customStyle="1" w:styleId="b">
    <w:name w:val="b"/>
    <w:basedOn w:val="DefaultParagraphFont"/>
  </w:style>
  <w:style w:type="paragraph" w:customStyle="1" w:styleId="item-field-data">
    <w:name w:val="item-field-data"/>
    <w:basedOn w:val="Normal"/>
  </w:style>
  <w:style w:type="paragraph" w:styleId="BalloonText">
    <w:name w:val="Balloon Text"/>
    <w:basedOn w:val="Normal"/>
    <w:link w:val="BalloonTextChar"/>
    <w:rsid w:val="004A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3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</w:style>
  <w:style w:type="character" w:customStyle="1" w:styleId="Strong1">
    <w:name w:val="Strong1"/>
    <w:basedOn w:val="DefaultParagraphFont"/>
  </w:style>
  <w:style w:type="character" w:customStyle="1" w:styleId="b">
    <w:name w:val="b"/>
    <w:basedOn w:val="DefaultParagraphFont"/>
  </w:style>
  <w:style w:type="paragraph" w:customStyle="1" w:styleId="item-field-data">
    <w:name w:val="item-field-data"/>
    <w:basedOn w:val="Normal"/>
  </w:style>
  <w:style w:type="paragraph" w:styleId="BalloonText">
    <w:name w:val="Balloon Text"/>
    <w:basedOn w:val="Normal"/>
    <w:link w:val="BalloonTextChar"/>
    <w:rsid w:val="004A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Amy Beck</cp:lastModifiedBy>
  <cp:revision>5</cp:revision>
  <cp:lastPrinted>2017-08-21T17:12:00Z</cp:lastPrinted>
  <dcterms:created xsi:type="dcterms:W3CDTF">2017-08-17T20:15:00Z</dcterms:created>
  <dcterms:modified xsi:type="dcterms:W3CDTF">2017-08-21T17:12:00Z</dcterms:modified>
</cp:coreProperties>
</file>