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F0" w:rsidRPr="00F046F0" w:rsidRDefault="00F046F0" w:rsidP="00F046F0">
      <w:pPr>
        <w:jc w:val="center"/>
        <w:rPr>
          <w:rFonts w:eastAsia="Times New Roman"/>
          <w:b/>
          <w:bCs/>
          <w:szCs w:val="24"/>
        </w:rPr>
      </w:pPr>
      <w:r w:rsidRPr="00F046F0">
        <w:rPr>
          <w:rFonts w:eastAsia="Times New Roman"/>
          <w:b/>
          <w:bCs/>
          <w:szCs w:val="24"/>
        </w:rPr>
        <w:t>POST-SECONDARY ENROLLMENT OPTIONS</w:t>
      </w:r>
    </w:p>
    <w:p w:rsidR="00F046F0" w:rsidRPr="00F046F0" w:rsidRDefault="00F046F0" w:rsidP="00F046F0">
      <w:pPr>
        <w:jc w:val="center"/>
        <w:rPr>
          <w:rFonts w:eastAsia="Times New Roman"/>
          <w:b/>
          <w:bCs/>
          <w:szCs w:val="24"/>
        </w:rPr>
      </w:pPr>
    </w:p>
    <w:p w:rsidR="00F046F0" w:rsidRPr="00F046F0" w:rsidRDefault="00F046F0" w:rsidP="00F046F0">
      <w:pPr>
        <w:rPr>
          <w:rFonts w:eastAsia="Times New Roman"/>
          <w:szCs w:val="24"/>
        </w:rPr>
      </w:pPr>
      <w:r w:rsidRPr="00F046F0">
        <w:rPr>
          <w:rFonts w:eastAsia="Times New Roman"/>
          <w:szCs w:val="24"/>
        </w:rPr>
        <w:t>The intent of this policy is to establish the requirements for student enrollment in post-secondary courses taken before high school graduation.</w:t>
      </w:r>
    </w:p>
    <w:p w:rsidR="00F046F0" w:rsidRPr="00F046F0" w:rsidRDefault="00F046F0" w:rsidP="00F046F0">
      <w:pPr>
        <w:rPr>
          <w:rFonts w:eastAsia="Times New Roman"/>
          <w:szCs w:val="24"/>
        </w:rPr>
      </w:pPr>
    </w:p>
    <w:p w:rsidR="00F046F0" w:rsidRPr="00F046F0" w:rsidRDefault="00F046F0" w:rsidP="00F046F0">
      <w:pPr>
        <w:rPr>
          <w:rFonts w:eastAsia="Times New Roman"/>
          <w:b/>
          <w:szCs w:val="24"/>
        </w:rPr>
      </w:pPr>
      <w:r w:rsidRPr="00F046F0">
        <w:rPr>
          <w:rFonts w:eastAsia="Times New Roman"/>
          <w:b/>
          <w:szCs w:val="24"/>
        </w:rPr>
        <w:t>Eligible Institutions</w:t>
      </w:r>
    </w:p>
    <w:p w:rsidR="00F046F0" w:rsidRPr="00F046F0" w:rsidRDefault="00F046F0" w:rsidP="00F046F0">
      <w:pPr>
        <w:rPr>
          <w:rFonts w:eastAsia="Times New Roman"/>
          <w:b/>
          <w:szCs w:val="24"/>
        </w:rPr>
      </w:pPr>
    </w:p>
    <w:p w:rsidR="00F046F0" w:rsidRPr="00F046F0" w:rsidRDefault="00F046F0" w:rsidP="00F046F0">
      <w:pPr>
        <w:ind w:left="720"/>
        <w:rPr>
          <w:rFonts w:eastAsia="Times New Roman"/>
          <w:szCs w:val="24"/>
        </w:rPr>
      </w:pPr>
      <w:r w:rsidRPr="00F046F0">
        <w:rPr>
          <w:rFonts w:eastAsia="Times New Roman"/>
          <w:szCs w:val="24"/>
        </w:rPr>
        <w:t>Students may take courses at eligible post-secondary institutions within Maine, which include the University of Maine System (including the Community Colleges) and Maine Maritime Academy.</w:t>
      </w:r>
    </w:p>
    <w:p w:rsidR="00F046F0" w:rsidRPr="00F046F0" w:rsidRDefault="00F046F0" w:rsidP="00F046F0">
      <w:pPr>
        <w:ind w:left="720" w:hanging="720"/>
        <w:rPr>
          <w:rFonts w:eastAsia="Times New Roman"/>
          <w:szCs w:val="24"/>
        </w:rPr>
      </w:pPr>
    </w:p>
    <w:p w:rsidR="00F046F0" w:rsidRPr="00F046F0" w:rsidRDefault="00F046F0" w:rsidP="00F046F0">
      <w:pPr>
        <w:ind w:left="720"/>
        <w:rPr>
          <w:rFonts w:eastAsia="Times New Roman"/>
          <w:bCs/>
          <w:szCs w:val="24"/>
        </w:rPr>
      </w:pPr>
      <w:r w:rsidRPr="00F046F0">
        <w:rPr>
          <w:rFonts w:eastAsia="Times New Roman"/>
          <w:bCs/>
          <w:szCs w:val="24"/>
        </w:rPr>
        <w:t xml:space="preserve">Students </w:t>
      </w:r>
      <w:proofErr w:type="gramStart"/>
      <w:r w:rsidRPr="00F046F0">
        <w:rPr>
          <w:rFonts w:eastAsia="Times New Roman"/>
          <w:bCs/>
          <w:szCs w:val="24"/>
        </w:rPr>
        <w:t>may be allowed</w:t>
      </w:r>
      <w:proofErr w:type="gramEnd"/>
      <w:r w:rsidRPr="00F046F0">
        <w:rPr>
          <w:rFonts w:eastAsia="Times New Roman"/>
          <w:bCs/>
          <w:szCs w:val="24"/>
        </w:rPr>
        <w:t xml:space="preserve"> to take courses at private colleges or other institutions.  Any such requests </w:t>
      </w:r>
      <w:proofErr w:type="gramStart"/>
      <w:r w:rsidRPr="00F046F0">
        <w:rPr>
          <w:rFonts w:eastAsia="Times New Roman"/>
          <w:bCs/>
          <w:szCs w:val="24"/>
        </w:rPr>
        <w:t>shall be considered</w:t>
      </w:r>
      <w:proofErr w:type="gramEnd"/>
      <w:r w:rsidRPr="00F046F0">
        <w:rPr>
          <w:rFonts w:eastAsia="Times New Roman"/>
          <w:bCs/>
          <w:szCs w:val="24"/>
        </w:rPr>
        <w:t xml:space="preserve"> on a case-by-case basis to the extent that funds are available.</w:t>
      </w:r>
    </w:p>
    <w:p w:rsidR="00F046F0" w:rsidRPr="00F046F0" w:rsidRDefault="00F046F0" w:rsidP="00F046F0">
      <w:pPr>
        <w:ind w:left="720" w:hanging="720"/>
        <w:rPr>
          <w:rFonts w:eastAsia="Times New Roman"/>
          <w:szCs w:val="24"/>
        </w:rPr>
      </w:pPr>
    </w:p>
    <w:p w:rsidR="00F046F0" w:rsidRPr="00F046F0" w:rsidRDefault="00F046F0" w:rsidP="00F046F0">
      <w:pPr>
        <w:rPr>
          <w:rFonts w:eastAsia="Times New Roman"/>
          <w:b/>
          <w:szCs w:val="24"/>
        </w:rPr>
      </w:pPr>
      <w:r w:rsidRPr="00F046F0">
        <w:rPr>
          <w:rFonts w:eastAsia="Times New Roman"/>
          <w:b/>
          <w:szCs w:val="24"/>
        </w:rPr>
        <w:t>Student Eligibility Requirements</w:t>
      </w:r>
    </w:p>
    <w:p w:rsidR="00F046F0" w:rsidRPr="00F046F0" w:rsidRDefault="00F046F0" w:rsidP="00F046F0">
      <w:pPr>
        <w:rPr>
          <w:rFonts w:eastAsia="Times New Roman"/>
          <w:b/>
          <w:szCs w:val="24"/>
        </w:rPr>
      </w:pPr>
    </w:p>
    <w:p w:rsidR="00F046F0" w:rsidRPr="00F046F0" w:rsidRDefault="00F046F0" w:rsidP="00F046F0">
      <w:pPr>
        <w:ind w:left="720"/>
        <w:rPr>
          <w:rFonts w:eastAsia="Times New Roman"/>
          <w:szCs w:val="24"/>
        </w:rPr>
      </w:pPr>
      <w:r w:rsidRPr="00F046F0">
        <w:rPr>
          <w:rFonts w:eastAsia="Times New Roman"/>
          <w:szCs w:val="24"/>
        </w:rPr>
        <w:t xml:space="preserve">A student may take no more than one course per semester and two courses per academic </w:t>
      </w:r>
      <w:proofErr w:type="gramStart"/>
      <w:r w:rsidRPr="00F046F0">
        <w:rPr>
          <w:rFonts w:eastAsia="Times New Roman"/>
          <w:szCs w:val="24"/>
        </w:rPr>
        <w:t>year</w:t>
      </w:r>
      <w:proofErr w:type="gramEnd"/>
      <w:r w:rsidRPr="00F046F0">
        <w:rPr>
          <w:rFonts w:eastAsia="Times New Roman"/>
          <w:szCs w:val="24"/>
        </w:rPr>
        <w:t>.</w:t>
      </w:r>
    </w:p>
    <w:p w:rsidR="00F046F0" w:rsidRPr="00F046F0" w:rsidRDefault="00F046F0" w:rsidP="00F046F0">
      <w:pPr>
        <w:ind w:left="720"/>
        <w:rPr>
          <w:rFonts w:eastAsia="Times New Roman"/>
          <w:szCs w:val="24"/>
        </w:rPr>
      </w:pPr>
    </w:p>
    <w:p w:rsidR="00F046F0" w:rsidRPr="00F046F0" w:rsidRDefault="00F046F0" w:rsidP="00F046F0">
      <w:pPr>
        <w:ind w:left="720"/>
        <w:rPr>
          <w:rFonts w:eastAsia="Times New Roman"/>
          <w:szCs w:val="24"/>
        </w:rPr>
      </w:pPr>
      <w:r w:rsidRPr="00F046F0">
        <w:rPr>
          <w:rFonts w:eastAsia="Times New Roman"/>
          <w:szCs w:val="24"/>
        </w:rPr>
        <w:t>As provided by law, a student must meet the following criteria prior to enrolling in a post-secondary course:</w:t>
      </w:r>
    </w:p>
    <w:p w:rsidR="00F046F0" w:rsidRDefault="00F046F0" w:rsidP="00F046F0">
      <w:pPr>
        <w:tabs>
          <w:tab w:val="left" w:pos="720"/>
        </w:tabs>
        <w:ind w:left="1440" w:hanging="1440"/>
        <w:rPr>
          <w:rFonts w:eastAsia="Times New Roman"/>
          <w:szCs w:val="24"/>
        </w:rPr>
      </w:pPr>
    </w:p>
    <w:p w:rsidR="00F046F0" w:rsidRPr="00F046F0" w:rsidRDefault="00F046F0" w:rsidP="00F046F0">
      <w:pPr>
        <w:tabs>
          <w:tab w:val="left" w:pos="720"/>
        </w:tabs>
        <w:ind w:left="1440" w:hanging="1440"/>
        <w:rPr>
          <w:rFonts w:eastAsia="Times New Roman"/>
          <w:szCs w:val="24"/>
        </w:rPr>
      </w:pPr>
      <w:r w:rsidRPr="00F046F0">
        <w:rPr>
          <w:rFonts w:eastAsia="Times New Roman"/>
          <w:szCs w:val="24"/>
        </w:rPr>
        <w:tab/>
        <w:t>A.</w:t>
      </w:r>
      <w:r w:rsidRPr="00F046F0">
        <w:rPr>
          <w:rFonts w:eastAsia="Times New Roman"/>
          <w:szCs w:val="24"/>
        </w:rPr>
        <w:tab/>
        <w:t>Have a minimum of a “B”</w:t>
      </w:r>
      <w:r w:rsidRPr="00F046F0">
        <w:rPr>
          <w:rFonts w:eastAsia="Times New Roman"/>
          <w:b/>
          <w:szCs w:val="24"/>
        </w:rPr>
        <w:t xml:space="preserve"> [or 3.0] </w:t>
      </w:r>
      <w:r w:rsidRPr="00F046F0">
        <w:rPr>
          <w:rFonts w:eastAsia="Times New Roman"/>
          <w:szCs w:val="24"/>
        </w:rPr>
        <w:t>average in his/her courses overall</w:t>
      </w:r>
      <w:proofErr w:type="gramStart"/>
      <w:r w:rsidRPr="00F046F0">
        <w:rPr>
          <w:rFonts w:eastAsia="Times New Roman"/>
          <w:szCs w:val="24"/>
        </w:rPr>
        <w:t>;</w:t>
      </w:r>
      <w:proofErr w:type="gramEnd"/>
    </w:p>
    <w:p w:rsidR="00F046F0" w:rsidRPr="00F046F0" w:rsidRDefault="00F046F0" w:rsidP="00F046F0">
      <w:pPr>
        <w:tabs>
          <w:tab w:val="left" w:pos="720"/>
        </w:tabs>
        <w:ind w:left="1440" w:hanging="1440"/>
        <w:rPr>
          <w:rFonts w:eastAsia="Times New Roman"/>
          <w:szCs w:val="24"/>
        </w:rPr>
      </w:pPr>
    </w:p>
    <w:p w:rsidR="00F046F0" w:rsidRPr="00F046F0" w:rsidRDefault="00F046F0" w:rsidP="00F046F0">
      <w:pPr>
        <w:numPr>
          <w:ilvl w:val="0"/>
          <w:numId w:val="2"/>
        </w:numPr>
        <w:tabs>
          <w:tab w:val="left" w:pos="720"/>
        </w:tabs>
        <w:rPr>
          <w:rFonts w:eastAsia="Times New Roman"/>
          <w:szCs w:val="24"/>
        </w:rPr>
      </w:pPr>
      <w:r w:rsidRPr="00F046F0">
        <w:rPr>
          <w:rFonts w:eastAsia="Times New Roman"/>
          <w:szCs w:val="24"/>
        </w:rPr>
        <w:t>Meet the course admission standards of the eligible institution;</w:t>
      </w:r>
    </w:p>
    <w:p w:rsidR="00F046F0" w:rsidRPr="00F046F0" w:rsidRDefault="00F046F0" w:rsidP="00F046F0">
      <w:pPr>
        <w:tabs>
          <w:tab w:val="left" w:pos="720"/>
        </w:tabs>
        <w:rPr>
          <w:rFonts w:eastAsia="Times New Roman"/>
          <w:szCs w:val="24"/>
        </w:rPr>
      </w:pPr>
    </w:p>
    <w:p w:rsidR="00F046F0" w:rsidRPr="00F046F0" w:rsidRDefault="00F046F0" w:rsidP="00F046F0">
      <w:pPr>
        <w:numPr>
          <w:ilvl w:val="0"/>
          <w:numId w:val="2"/>
        </w:numPr>
        <w:tabs>
          <w:tab w:val="left" w:pos="720"/>
        </w:tabs>
        <w:rPr>
          <w:rFonts w:eastAsia="Times New Roman"/>
          <w:szCs w:val="24"/>
        </w:rPr>
      </w:pPr>
      <w:r w:rsidRPr="00F046F0">
        <w:rPr>
          <w:rFonts w:eastAsia="Times New Roman"/>
          <w:szCs w:val="24"/>
        </w:rPr>
        <w:t>Provide evidence of parent/guardian approval for taking the course; and</w:t>
      </w:r>
    </w:p>
    <w:p w:rsidR="00F046F0" w:rsidRPr="00F046F0" w:rsidRDefault="00F046F0" w:rsidP="00F046F0">
      <w:pPr>
        <w:tabs>
          <w:tab w:val="left" w:pos="720"/>
        </w:tabs>
        <w:rPr>
          <w:rFonts w:eastAsia="Times New Roman"/>
          <w:szCs w:val="24"/>
        </w:rPr>
      </w:pPr>
    </w:p>
    <w:p w:rsidR="00F046F0" w:rsidRPr="00F046F0" w:rsidRDefault="00F046F0" w:rsidP="00F046F0">
      <w:pPr>
        <w:numPr>
          <w:ilvl w:val="0"/>
          <w:numId w:val="2"/>
        </w:numPr>
        <w:tabs>
          <w:tab w:val="left" w:pos="720"/>
        </w:tabs>
        <w:rPr>
          <w:rFonts w:eastAsia="Times New Roman"/>
          <w:szCs w:val="24"/>
        </w:rPr>
      </w:pPr>
      <w:r w:rsidRPr="00F046F0">
        <w:rPr>
          <w:rFonts w:eastAsia="Times New Roman"/>
          <w:szCs w:val="24"/>
        </w:rPr>
        <w:t xml:space="preserve">Obtain approval from the principal and guidance counselor.  </w:t>
      </w:r>
    </w:p>
    <w:p w:rsidR="00F046F0" w:rsidRPr="00F046F0" w:rsidRDefault="00F046F0" w:rsidP="00F046F0">
      <w:pPr>
        <w:tabs>
          <w:tab w:val="left" w:pos="720"/>
        </w:tabs>
        <w:rPr>
          <w:rFonts w:eastAsia="Times New Roman"/>
          <w:b/>
          <w:szCs w:val="24"/>
        </w:rPr>
      </w:pPr>
    </w:p>
    <w:p w:rsidR="00F046F0" w:rsidRPr="00F046F0" w:rsidRDefault="00F046F0" w:rsidP="00F046F0">
      <w:pPr>
        <w:tabs>
          <w:tab w:val="left" w:pos="720"/>
        </w:tabs>
        <w:rPr>
          <w:rFonts w:eastAsia="Times New Roman"/>
          <w:b/>
          <w:szCs w:val="24"/>
        </w:rPr>
      </w:pPr>
      <w:r w:rsidRPr="00F046F0">
        <w:rPr>
          <w:rFonts w:eastAsia="Times New Roman"/>
          <w:b/>
          <w:szCs w:val="24"/>
        </w:rPr>
        <w:t>Exceptions to Eligibility Requirements</w:t>
      </w:r>
    </w:p>
    <w:p w:rsidR="00F046F0" w:rsidRPr="00F046F0" w:rsidRDefault="00F046F0" w:rsidP="00F046F0">
      <w:pPr>
        <w:tabs>
          <w:tab w:val="left" w:pos="720"/>
        </w:tabs>
        <w:rPr>
          <w:rFonts w:eastAsia="Times New Roman"/>
          <w:bCs/>
          <w:szCs w:val="24"/>
        </w:rPr>
      </w:pPr>
    </w:p>
    <w:p w:rsidR="00F046F0" w:rsidRPr="00F046F0" w:rsidRDefault="00F046F0" w:rsidP="00F046F0">
      <w:pPr>
        <w:tabs>
          <w:tab w:val="left" w:pos="720"/>
        </w:tabs>
        <w:ind w:left="720"/>
        <w:rPr>
          <w:rFonts w:eastAsia="Times New Roman"/>
          <w:szCs w:val="24"/>
        </w:rPr>
      </w:pPr>
      <w:r w:rsidRPr="00F046F0">
        <w:rPr>
          <w:rFonts w:eastAsia="Times New Roman"/>
          <w:szCs w:val="24"/>
        </w:rPr>
        <w:t xml:space="preserve">A student enrolled in grade 11 or 12 who does not meet the “B” </w:t>
      </w:r>
      <w:r w:rsidRPr="00F046F0">
        <w:rPr>
          <w:rFonts w:eastAsia="Times New Roman"/>
          <w:b/>
          <w:szCs w:val="24"/>
        </w:rPr>
        <w:t xml:space="preserve">[or 3.0] </w:t>
      </w:r>
      <w:r w:rsidRPr="00F046F0">
        <w:rPr>
          <w:rFonts w:eastAsia="Times New Roman"/>
          <w:szCs w:val="24"/>
        </w:rPr>
        <w:t xml:space="preserve">average in his/her courses overall </w:t>
      </w:r>
      <w:proofErr w:type="gramStart"/>
      <w:r w:rsidRPr="00F046F0">
        <w:rPr>
          <w:rFonts w:eastAsia="Times New Roman"/>
          <w:szCs w:val="24"/>
        </w:rPr>
        <w:t>is eligible to take a post-secondary course provided</w:t>
      </w:r>
      <w:proofErr w:type="gramEnd"/>
      <w:r w:rsidRPr="00F046F0">
        <w:rPr>
          <w:rFonts w:eastAsia="Times New Roman"/>
          <w:szCs w:val="24"/>
        </w:rPr>
        <w:t xml:space="preserve"> that he/she:</w:t>
      </w:r>
    </w:p>
    <w:p w:rsidR="00F046F0" w:rsidRPr="00F046F0" w:rsidRDefault="00F046F0" w:rsidP="00F046F0">
      <w:pPr>
        <w:tabs>
          <w:tab w:val="left" w:pos="720"/>
        </w:tabs>
        <w:ind w:left="720"/>
        <w:rPr>
          <w:rFonts w:eastAsia="Times New Roman"/>
          <w:szCs w:val="24"/>
        </w:rPr>
      </w:pPr>
    </w:p>
    <w:p w:rsidR="00F046F0" w:rsidRPr="00F046F0" w:rsidRDefault="00F046F0" w:rsidP="00F046F0">
      <w:pPr>
        <w:tabs>
          <w:tab w:val="left" w:pos="720"/>
        </w:tabs>
        <w:ind w:left="1440" w:hanging="1440"/>
        <w:rPr>
          <w:rFonts w:eastAsia="Times New Roman"/>
          <w:szCs w:val="24"/>
        </w:rPr>
      </w:pPr>
      <w:r w:rsidRPr="00F046F0">
        <w:rPr>
          <w:rFonts w:eastAsia="Times New Roman"/>
          <w:szCs w:val="24"/>
        </w:rPr>
        <w:tab/>
        <w:t>A.</w:t>
      </w:r>
      <w:r w:rsidRPr="00F046F0">
        <w:rPr>
          <w:rFonts w:eastAsia="Times New Roman"/>
          <w:szCs w:val="24"/>
        </w:rPr>
        <w:tab/>
        <w:t>Has been assessed and received a recommendation to take the course from the school administration; and</w:t>
      </w:r>
    </w:p>
    <w:p w:rsidR="00F046F0" w:rsidRPr="00F046F0" w:rsidRDefault="00F046F0" w:rsidP="00F046F0">
      <w:pPr>
        <w:tabs>
          <w:tab w:val="left" w:pos="720"/>
        </w:tabs>
        <w:ind w:left="1440" w:hanging="1440"/>
        <w:rPr>
          <w:rFonts w:eastAsia="Times New Roman"/>
          <w:szCs w:val="24"/>
        </w:rPr>
      </w:pPr>
    </w:p>
    <w:p w:rsidR="00F046F0" w:rsidRPr="00F046F0" w:rsidRDefault="00F046F0" w:rsidP="00F046F0">
      <w:pPr>
        <w:tabs>
          <w:tab w:val="left" w:pos="720"/>
        </w:tabs>
        <w:ind w:left="1440" w:hanging="1440"/>
        <w:rPr>
          <w:rFonts w:eastAsia="Times New Roman"/>
          <w:szCs w:val="24"/>
        </w:rPr>
      </w:pPr>
      <w:r w:rsidRPr="00F046F0">
        <w:rPr>
          <w:rFonts w:eastAsia="Times New Roman"/>
          <w:szCs w:val="24"/>
        </w:rPr>
        <w:tab/>
      </w:r>
      <w:proofErr w:type="gramStart"/>
      <w:r w:rsidRPr="00F046F0">
        <w:rPr>
          <w:rFonts w:eastAsia="Times New Roman"/>
          <w:szCs w:val="24"/>
        </w:rPr>
        <w:t>B.</w:t>
      </w:r>
      <w:r w:rsidRPr="00F046F0">
        <w:rPr>
          <w:rFonts w:eastAsia="Times New Roman"/>
          <w:szCs w:val="24"/>
        </w:rPr>
        <w:tab/>
        <w:t>Has been approved</w:t>
      </w:r>
      <w:proofErr w:type="gramEnd"/>
      <w:r w:rsidRPr="00F046F0">
        <w:rPr>
          <w:rFonts w:eastAsia="Times New Roman"/>
          <w:szCs w:val="24"/>
        </w:rPr>
        <w:t xml:space="preserve"> for participant in the course by the eligible institution.</w:t>
      </w:r>
    </w:p>
    <w:p w:rsidR="00F046F0" w:rsidRPr="00F046F0" w:rsidRDefault="00F046F0" w:rsidP="00F046F0">
      <w:pPr>
        <w:rPr>
          <w:rFonts w:eastAsia="Times New Roman"/>
          <w:szCs w:val="24"/>
        </w:rPr>
      </w:pPr>
    </w:p>
    <w:p w:rsidR="00F046F0" w:rsidRPr="00F046F0" w:rsidRDefault="00F046F0" w:rsidP="00F046F0">
      <w:pPr>
        <w:rPr>
          <w:rFonts w:eastAsia="Times New Roman"/>
          <w:b/>
          <w:szCs w:val="24"/>
        </w:rPr>
      </w:pPr>
      <w:r w:rsidRPr="00F046F0">
        <w:rPr>
          <w:rFonts w:eastAsia="Times New Roman"/>
          <w:b/>
          <w:szCs w:val="24"/>
        </w:rPr>
        <w:t>Awarding of Credits</w:t>
      </w:r>
    </w:p>
    <w:p w:rsidR="00F046F0" w:rsidRPr="00F046F0" w:rsidRDefault="00F046F0" w:rsidP="00F046F0">
      <w:pPr>
        <w:rPr>
          <w:rFonts w:eastAsia="Times New Roman"/>
          <w:b/>
          <w:szCs w:val="24"/>
        </w:rPr>
      </w:pPr>
    </w:p>
    <w:p w:rsidR="00F046F0" w:rsidRPr="00F046F0" w:rsidRDefault="00F046F0" w:rsidP="00F046F0">
      <w:pPr>
        <w:ind w:left="720"/>
        <w:rPr>
          <w:rFonts w:eastAsia="Times New Roman"/>
          <w:szCs w:val="24"/>
        </w:rPr>
      </w:pPr>
      <w:r w:rsidRPr="00F046F0">
        <w:rPr>
          <w:rFonts w:eastAsia="Times New Roman"/>
          <w:szCs w:val="24"/>
        </w:rPr>
        <w:t>The eligible institution shall grant full credit to any student who successfully completes a course.</w:t>
      </w:r>
    </w:p>
    <w:p w:rsidR="00F046F0" w:rsidRPr="00F046F0" w:rsidRDefault="00F046F0" w:rsidP="00F046F0">
      <w:pPr>
        <w:rPr>
          <w:rFonts w:eastAsia="Times New Roman"/>
          <w:b/>
          <w:szCs w:val="24"/>
        </w:rPr>
      </w:pPr>
      <w:r w:rsidRPr="00F046F0">
        <w:rPr>
          <w:rFonts w:eastAsia="Times New Roman"/>
          <w:szCs w:val="24"/>
        </w:rPr>
        <w:lastRenderedPageBreak/>
        <w:tab/>
      </w:r>
    </w:p>
    <w:p w:rsidR="00F046F0" w:rsidRPr="00F046F0" w:rsidRDefault="00F046F0" w:rsidP="00F046F0">
      <w:pPr>
        <w:ind w:left="720"/>
        <w:rPr>
          <w:rFonts w:eastAsia="Times New Roman"/>
          <w:bCs/>
          <w:szCs w:val="24"/>
        </w:rPr>
      </w:pPr>
      <w:r w:rsidRPr="00F046F0">
        <w:rPr>
          <w:rFonts w:eastAsia="Times New Roman"/>
          <w:bCs/>
          <w:szCs w:val="24"/>
        </w:rPr>
        <w:t xml:space="preserve">High school graduation credit for a course taken under this policy </w:t>
      </w:r>
      <w:proofErr w:type="gramStart"/>
      <w:r w:rsidRPr="00F046F0">
        <w:rPr>
          <w:rFonts w:eastAsia="Times New Roman"/>
          <w:bCs/>
          <w:szCs w:val="24"/>
        </w:rPr>
        <w:t>shall be awarded</w:t>
      </w:r>
      <w:proofErr w:type="gramEnd"/>
      <w:r w:rsidRPr="00F046F0">
        <w:rPr>
          <w:rFonts w:eastAsia="Times New Roman"/>
          <w:bCs/>
          <w:szCs w:val="24"/>
        </w:rPr>
        <w:t xml:space="preserve"> as follows:</w:t>
      </w:r>
    </w:p>
    <w:p w:rsidR="00F046F0" w:rsidRPr="00F046F0" w:rsidRDefault="00F046F0" w:rsidP="00F046F0">
      <w:pPr>
        <w:spacing w:before="40"/>
        <w:ind w:left="720" w:hanging="720"/>
        <w:rPr>
          <w:rFonts w:eastAsia="Times New Roman"/>
          <w:bCs/>
          <w:szCs w:val="24"/>
        </w:rPr>
      </w:pPr>
    </w:p>
    <w:p w:rsidR="00F046F0" w:rsidRPr="00F046F0" w:rsidRDefault="00F046F0" w:rsidP="00F046F0">
      <w:pPr>
        <w:tabs>
          <w:tab w:val="left" w:pos="720"/>
        </w:tabs>
        <w:ind w:left="1440" w:hanging="1440"/>
        <w:rPr>
          <w:rFonts w:eastAsia="Times New Roman"/>
          <w:bCs/>
          <w:szCs w:val="24"/>
        </w:rPr>
      </w:pPr>
      <w:r w:rsidRPr="00F046F0">
        <w:rPr>
          <w:rFonts w:eastAsia="Times New Roman"/>
          <w:bCs/>
          <w:szCs w:val="24"/>
        </w:rPr>
        <w:tab/>
        <w:t>A.</w:t>
      </w:r>
      <w:r w:rsidRPr="00F046F0">
        <w:rPr>
          <w:rFonts w:eastAsia="Times New Roman"/>
          <w:bCs/>
          <w:szCs w:val="24"/>
        </w:rPr>
        <w:tab/>
        <w:t xml:space="preserve">The course must meet for a minimum of one semester.  </w:t>
      </w:r>
    </w:p>
    <w:p w:rsidR="00F046F0" w:rsidRPr="00F046F0" w:rsidRDefault="00F046F0" w:rsidP="00F046F0">
      <w:pPr>
        <w:rPr>
          <w:rFonts w:eastAsia="Times New Roman"/>
          <w:bCs/>
          <w:szCs w:val="24"/>
        </w:rPr>
      </w:pPr>
    </w:p>
    <w:p w:rsidR="00F046F0" w:rsidRPr="00F046F0" w:rsidRDefault="00F046F0" w:rsidP="00F046F0">
      <w:pPr>
        <w:ind w:left="1440" w:hanging="720"/>
        <w:rPr>
          <w:rFonts w:eastAsia="Times New Roman"/>
          <w:bCs/>
          <w:szCs w:val="24"/>
        </w:rPr>
      </w:pPr>
      <w:r w:rsidRPr="00F046F0">
        <w:rPr>
          <w:rFonts w:eastAsia="Times New Roman"/>
          <w:bCs/>
          <w:szCs w:val="24"/>
        </w:rPr>
        <w:t>B.</w:t>
      </w:r>
      <w:r w:rsidRPr="00F046F0">
        <w:rPr>
          <w:rFonts w:eastAsia="Times New Roman"/>
          <w:bCs/>
          <w:szCs w:val="24"/>
        </w:rPr>
        <w:tab/>
        <w:t xml:space="preserve">The student must earn a passing grade in the course. </w:t>
      </w:r>
    </w:p>
    <w:p w:rsidR="00F046F0" w:rsidRPr="00F046F0" w:rsidRDefault="00F046F0" w:rsidP="00F046F0">
      <w:pPr>
        <w:rPr>
          <w:rFonts w:eastAsia="Times New Roman"/>
          <w:bCs/>
          <w:szCs w:val="24"/>
        </w:rPr>
      </w:pPr>
    </w:p>
    <w:p w:rsidR="00F046F0" w:rsidRPr="00F046F0" w:rsidRDefault="00F046F0" w:rsidP="00F046F0">
      <w:pPr>
        <w:numPr>
          <w:ilvl w:val="0"/>
          <w:numId w:val="1"/>
        </w:numPr>
        <w:tabs>
          <w:tab w:val="left" w:pos="720"/>
        </w:tabs>
        <w:ind w:left="1440" w:hanging="720"/>
        <w:rPr>
          <w:rFonts w:eastAsia="Times New Roman"/>
          <w:b/>
          <w:szCs w:val="24"/>
        </w:rPr>
      </w:pPr>
      <w:r w:rsidRPr="00F046F0">
        <w:rPr>
          <w:rFonts w:eastAsia="Times New Roman"/>
          <w:bCs/>
          <w:szCs w:val="24"/>
        </w:rPr>
        <w:tab/>
        <w:t>Attendance must satisfy the instructor’s requirements.</w:t>
      </w:r>
    </w:p>
    <w:p w:rsidR="00F046F0" w:rsidRPr="00F046F0" w:rsidRDefault="00F046F0" w:rsidP="00F046F0">
      <w:pPr>
        <w:tabs>
          <w:tab w:val="left" w:pos="720"/>
        </w:tabs>
        <w:ind w:left="1440"/>
        <w:rPr>
          <w:rFonts w:eastAsia="Times New Roman"/>
          <w:b/>
          <w:szCs w:val="24"/>
        </w:rPr>
      </w:pPr>
    </w:p>
    <w:p w:rsidR="00F046F0" w:rsidRPr="00F046F0" w:rsidRDefault="00F046F0" w:rsidP="00F046F0">
      <w:pPr>
        <w:tabs>
          <w:tab w:val="left" w:pos="720"/>
        </w:tabs>
        <w:ind w:left="1440" w:hanging="1440"/>
        <w:rPr>
          <w:rFonts w:eastAsia="Times New Roman"/>
          <w:bCs/>
          <w:szCs w:val="24"/>
        </w:rPr>
      </w:pPr>
      <w:r w:rsidRPr="00F046F0">
        <w:rPr>
          <w:rFonts w:eastAsia="Times New Roman"/>
          <w:bCs/>
          <w:szCs w:val="24"/>
        </w:rPr>
        <w:tab/>
        <w:t>D.</w:t>
      </w:r>
      <w:r w:rsidRPr="00F046F0">
        <w:rPr>
          <w:rFonts w:eastAsia="Times New Roman"/>
          <w:bCs/>
          <w:szCs w:val="24"/>
        </w:rPr>
        <w:tab/>
        <w:t xml:space="preserve">If the above criteria </w:t>
      </w:r>
      <w:proofErr w:type="gramStart"/>
      <w:r w:rsidRPr="00F046F0">
        <w:rPr>
          <w:rFonts w:eastAsia="Times New Roman"/>
          <w:bCs/>
          <w:szCs w:val="24"/>
        </w:rPr>
        <w:t>are met</w:t>
      </w:r>
      <w:proofErr w:type="gramEnd"/>
      <w:r w:rsidRPr="00F046F0">
        <w:rPr>
          <w:rFonts w:eastAsia="Times New Roman"/>
          <w:bCs/>
          <w:szCs w:val="24"/>
        </w:rPr>
        <w:t>, the student shall receive one unit of high school credit for each course and the grade awarded by the postsecondary institution will be the grade posted to the Central High School transcript.</w:t>
      </w:r>
    </w:p>
    <w:p w:rsidR="00F046F0" w:rsidRPr="00F046F0" w:rsidRDefault="00F046F0" w:rsidP="00F046F0">
      <w:pPr>
        <w:tabs>
          <w:tab w:val="left" w:pos="720"/>
        </w:tabs>
        <w:ind w:left="1440" w:hanging="1440"/>
        <w:rPr>
          <w:rFonts w:eastAsia="Times New Roman"/>
          <w:szCs w:val="24"/>
        </w:rPr>
      </w:pPr>
    </w:p>
    <w:p w:rsidR="00F046F0" w:rsidRPr="00F046F0" w:rsidRDefault="00F046F0" w:rsidP="00F046F0">
      <w:pPr>
        <w:rPr>
          <w:rFonts w:eastAsia="Times New Roman"/>
          <w:b/>
          <w:bCs/>
          <w:szCs w:val="24"/>
        </w:rPr>
      </w:pPr>
      <w:r w:rsidRPr="00F046F0">
        <w:rPr>
          <w:rFonts w:eastAsia="Times New Roman"/>
          <w:b/>
          <w:bCs/>
          <w:szCs w:val="24"/>
        </w:rPr>
        <w:t>Financial Assistance</w:t>
      </w:r>
    </w:p>
    <w:p w:rsidR="00F046F0" w:rsidRPr="00F046F0" w:rsidRDefault="00F046F0" w:rsidP="00F046F0">
      <w:pPr>
        <w:rPr>
          <w:rFonts w:eastAsia="Times New Roman"/>
          <w:b/>
          <w:bCs/>
          <w:szCs w:val="24"/>
        </w:rPr>
      </w:pPr>
    </w:p>
    <w:p w:rsidR="00F046F0" w:rsidRPr="00F046F0" w:rsidRDefault="00F046F0" w:rsidP="00F046F0">
      <w:pPr>
        <w:numPr>
          <w:ilvl w:val="0"/>
          <w:numId w:val="3"/>
        </w:numPr>
        <w:tabs>
          <w:tab w:val="left" w:pos="720"/>
        </w:tabs>
        <w:rPr>
          <w:rFonts w:eastAsia="Times New Roman"/>
          <w:szCs w:val="24"/>
        </w:rPr>
      </w:pPr>
      <w:r w:rsidRPr="00F046F0">
        <w:rPr>
          <w:rFonts w:eastAsia="Times New Roman"/>
          <w:szCs w:val="24"/>
        </w:rPr>
        <w:t>The Maine Department of Education shall pay applicable tuition costs for any student enrolled in a course under this policy if the eligible institution requires tuition payment.</w:t>
      </w:r>
    </w:p>
    <w:p w:rsidR="00F046F0" w:rsidRPr="00F046F0" w:rsidRDefault="00F046F0" w:rsidP="00F046F0">
      <w:pPr>
        <w:tabs>
          <w:tab w:val="left" w:pos="720"/>
        </w:tabs>
        <w:rPr>
          <w:rFonts w:eastAsia="Times New Roman"/>
          <w:szCs w:val="24"/>
        </w:rPr>
      </w:pPr>
    </w:p>
    <w:p w:rsidR="00F046F0" w:rsidRPr="00F046F0" w:rsidRDefault="00F046F0" w:rsidP="00F046F0">
      <w:pPr>
        <w:numPr>
          <w:ilvl w:val="0"/>
          <w:numId w:val="3"/>
        </w:numPr>
        <w:tabs>
          <w:tab w:val="left" w:pos="720"/>
        </w:tabs>
        <w:rPr>
          <w:rFonts w:eastAsia="Times New Roman"/>
          <w:szCs w:val="24"/>
        </w:rPr>
      </w:pPr>
      <w:r w:rsidRPr="00F046F0">
        <w:rPr>
          <w:rFonts w:eastAsia="Times New Roman"/>
          <w:szCs w:val="24"/>
        </w:rPr>
        <w:t xml:space="preserve">The student and his/her parent/guardian are responsible for paying for all textbooks, course fees and transportation costs.  </w:t>
      </w:r>
      <w:r w:rsidRPr="00F046F0">
        <w:rPr>
          <w:rFonts w:eastAsia="Times New Roman"/>
          <w:bCs/>
          <w:szCs w:val="24"/>
        </w:rPr>
        <w:t xml:space="preserve">If </w:t>
      </w:r>
      <w:r w:rsidRPr="00F046F0">
        <w:rPr>
          <w:rFonts w:eastAsia="Times New Roman"/>
          <w:szCs w:val="24"/>
        </w:rPr>
        <w:t xml:space="preserve">the student qualifies </w:t>
      </w:r>
      <w:proofErr w:type="gramStart"/>
      <w:r w:rsidRPr="00F046F0">
        <w:rPr>
          <w:rFonts w:eastAsia="Times New Roman"/>
          <w:szCs w:val="24"/>
        </w:rPr>
        <w:t>for free</w:t>
      </w:r>
      <w:proofErr w:type="gramEnd"/>
      <w:r w:rsidRPr="00F046F0">
        <w:rPr>
          <w:rFonts w:eastAsia="Times New Roman"/>
          <w:szCs w:val="24"/>
        </w:rPr>
        <w:t xml:space="preserve"> or reduced lunch, the school unit shall pay the cost of textbooks, course fees, and transportation</w:t>
      </w:r>
      <w:r w:rsidRPr="00F046F0">
        <w:rPr>
          <w:rFonts w:eastAsia="Times New Roman"/>
          <w:bCs/>
          <w:szCs w:val="24"/>
        </w:rPr>
        <w:t>.</w:t>
      </w:r>
    </w:p>
    <w:p w:rsidR="00F046F0" w:rsidRPr="00F046F0" w:rsidRDefault="00F046F0" w:rsidP="00F046F0">
      <w:pPr>
        <w:tabs>
          <w:tab w:val="left" w:pos="720"/>
        </w:tabs>
        <w:ind w:left="1440" w:hanging="1440"/>
        <w:rPr>
          <w:rFonts w:eastAsia="Times New Roman"/>
          <w:b/>
          <w:szCs w:val="24"/>
        </w:rPr>
      </w:pPr>
    </w:p>
    <w:p w:rsidR="00F046F0" w:rsidRPr="00F046F0" w:rsidRDefault="00F046F0" w:rsidP="00F046F0">
      <w:pPr>
        <w:tabs>
          <w:tab w:val="left" w:pos="720"/>
        </w:tabs>
        <w:ind w:left="1440" w:hanging="1440"/>
        <w:rPr>
          <w:rFonts w:eastAsia="Times New Roman"/>
          <w:b/>
          <w:bCs/>
          <w:szCs w:val="24"/>
        </w:rPr>
      </w:pPr>
      <w:r w:rsidRPr="00F046F0">
        <w:rPr>
          <w:rFonts w:eastAsia="Times New Roman"/>
          <w:b/>
          <w:bCs/>
          <w:szCs w:val="24"/>
        </w:rPr>
        <w:t>School Unit Reporting Requirements</w:t>
      </w:r>
    </w:p>
    <w:p w:rsidR="00F046F0" w:rsidRPr="00F046F0" w:rsidRDefault="00F046F0" w:rsidP="00F046F0">
      <w:pPr>
        <w:tabs>
          <w:tab w:val="left" w:pos="720"/>
        </w:tabs>
        <w:ind w:left="1440" w:hanging="1440"/>
        <w:rPr>
          <w:rFonts w:eastAsia="Times New Roman"/>
          <w:b/>
          <w:bCs/>
          <w:szCs w:val="24"/>
        </w:rPr>
      </w:pPr>
    </w:p>
    <w:p w:rsidR="00F046F0" w:rsidRPr="00F046F0" w:rsidRDefault="00F046F0" w:rsidP="00F046F0">
      <w:pPr>
        <w:ind w:left="720"/>
        <w:rPr>
          <w:rFonts w:eastAsia="Times New Roman"/>
          <w:szCs w:val="24"/>
        </w:rPr>
      </w:pPr>
      <w:r w:rsidRPr="00F046F0">
        <w:rPr>
          <w:rFonts w:eastAsia="Times New Roman"/>
          <w:szCs w:val="24"/>
        </w:rPr>
        <w:t xml:space="preserve">The Superintendent shall ensure that information concerning post-secondary enrollment options </w:t>
      </w:r>
      <w:proofErr w:type="gramStart"/>
      <w:r w:rsidRPr="00F046F0">
        <w:rPr>
          <w:rFonts w:eastAsia="Times New Roman"/>
          <w:szCs w:val="24"/>
        </w:rPr>
        <w:t>is made</w:t>
      </w:r>
      <w:proofErr w:type="gramEnd"/>
      <w:r w:rsidRPr="00F046F0">
        <w:rPr>
          <w:rFonts w:eastAsia="Times New Roman"/>
          <w:szCs w:val="24"/>
        </w:rPr>
        <w:t xml:space="preserve"> available to parents and students.</w:t>
      </w:r>
    </w:p>
    <w:p w:rsidR="00F046F0" w:rsidRPr="00F046F0" w:rsidRDefault="00F046F0" w:rsidP="00F046F0">
      <w:pPr>
        <w:ind w:left="720"/>
        <w:rPr>
          <w:rFonts w:eastAsia="Times New Roman"/>
          <w:szCs w:val="24"/>
        </w:rPr>
      </w:pPr>
    </w:p>
    <w:p w:rsidR="00F046F0" w:rsidRPr="00F046F0" w:rsidRDefault="00F046F0" w:rsidP="00F046F0">
      <w:pPr>
        <w:ind w:left="720"/>
        <w:rPr>
          <w:rFonts w:eastAsia="Times New Roman"/>
          <w:szCs w:val="24"/>
        </w:rPr>
      </w:pPr>
      <w:r w:rsidRPr="00F046F0">
        <w:rPr>
          <w:rFonts w:eastAsia="Times New Roman"/>
          <w:szCs w:val="24"/>
        </w:rPr>
        <w:t>The Superintendent shall provide an annual report to the Board regarding the number of students taking courses at post-secondary institutions and the courses taken.</w:t>
      </w:r>
    </w:p>
    <w:p w:rsidR="00F046F0" w:rsidRPr="00F046F0" w:rsidRDefault="00F046F0" w:rsidP="00F046F0">
      <w:pPr>
        <w:ind w:left="720"/>
        <w:rPr>
          <w:rFonts w:eastAsia="Times New Roman"/>
          <w:szCs w:val="24"/>
        </w:rPr>
      </w:pPr>
    </w:p>
    <w:p w:rsidR="00F046F0" w:rsidRPr="00F046F0" w:rsidRDefault="00F046F0" w:rsidP="00F046F0">
      <w:pPr>
        <w:rPr>
          <w:rFonts w:eastAsia="Times New Roman"/>
          <w:szCs w:val="24"/>
        </w:rPr>
      </w:pPr>
      <w:r w:rsidRPr="00F046F0">
        <w:rPr>
          <w:rFonts w:eastAsia="Times New Roman"/>
          <w:szCs w:val="24"/>
        </w:rPr>
        <w:t>Legal Reference:</w:t>
      </w:r>
      <w:r w:rsidRPr="00F046F0">
        <w:rPr>
          <w:rFonts w:eastAsia="Times New Roman"/>
          <w:szCs w:val="24"/>
        </w:rPr>
        <w:tab/>
        <w:t>20-A MRSA § 4771 et seq.</w:t>
      </w:r>
    </w:p>
    <w:p w:rsidR="00F046F0" w:rsidRPr="00F046F0" w:rsidRDefault="00F046F0" w:rsidP="00F046F0">
      <w:pPr>
        <w:rPr>
          <w:rFonts w:eastAsia="Times New Roman"/>
          <w:szCs w:val="24"/>
        </w:rPr>
      </w:pPr>
    </w:p>
    <w:p w:rsidR="00F046F0" w:rsidRPr="00F046F0" w:rsidRDefault="00F046F0" w:rsidP="00F046F0">
      <w:pPr>
        <w:rPr>
          <w:rFonts w:eastAsia="Times New Roman"/>
          <w:szCs w:val="24"/>
        </w:rPr>
      </w:pPr>
      <w:r w:rsidRPr="00F046F0">
        <w:rPr>
          <w:rFonts w:eastAsia="Times New Roman"/>
          <w:szCs w:val="24"/>
        </w:rPr>
        <w:t>Adopted:</w:t>
      </w:r>
      <w:r w:rsidRPr="00F046F0">
        <w:rPr>
          <w:rFonts w:eastAsia="Times New Roman"/>
          <w:szCs w:val="24"/>
        </w:rPr>
        <w:tab/>
      </w:r>
      <w:r w:rsidR="00F977E0">
        <w:rPr>
          <w:szCs w:val="24"/>
        </w:rPr>
        <w:t>August 20, 2018</w:t>
      </w:r>
      <w:bookmarkStart w:id="0" w:name="_GoBack"/>
      <w:bookmarkEnd w:id="0"/>
    </w:p>
    <w:p w:rsidR="00F046F0" w:rsidRPr="00F046F0" w:rsidRDefault="00F046F0" w:rsidP="00F046F0">
      <w:pPr>
        <w:rPr>
          <w:rFonts w:eastAsia="Times New Roman"/>
          <w:szCs w:val="24"/>
        </w:rPr>
      </w:pPr>
    </w:p>
    <w:p w:rsidR="00F046F0" w:rsidRPr="00F046F0" w:rsidRDefault="00F046F0" w:rsidP="00F046F0">
      <w:pPr>
        <w:rPr>
          <w:rFonts w:eastAsia="Times New Roman"/>
          <w:szCs w:val="24"/>
        </w:rPr>
      </w:pPr>
    </w:p>
    <w:p w:rsidR="000F7E78" w:rsidRPr="00F046F0" w:rsidRDefault="00F977E0">
      <w:pPr>
        <w:rPr>
          <w:szCs w:val="24"/>
        </w:rPr>
      </w:pPr>
    </w:p>
    <w:sectPr w:rsidR="000F7E78" w:rsidRPr="00F046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F0" w:rsidRDefault="00F046F0" w:rsidP="00F046F0">
      <w:r>
        <w:separator/>
      </w:r>
    </w:p>
  </w:endnote>
  <w:endnote w:type="continuationSeparator" w:id="0">
    <w:p w:rsidR="00F046F0" w:rsidRDefault="00F046F0" w:rsidP="00F0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F0" w:rsidRDefault="00F046F0" w:rsidP="00F046F0">
      <w:r>
        <w:separator/>
      </w:r>
    </w:p>
  </w:footnote>
  <w:footnote w:type="continuationSeparator" w:id="0">
    <w:p w:rsidR="00F046F0" w:rsidRDefault="00F046F0" w:rsidP="00F0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F046F0" w:rsidRPr="00A94B57" w:rsidRDefault="00F046F0" w:rsidP="00F046F0">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F977E0">
          <w:rPr>
            <w:bCs/>
            <w:noProof/>
            <w:szCs w:val="24"/>
          </w:rPr>
          <w:t>2</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F977E0">
          <w:rPr>
            <w:bCs/>
            <w:noProof/>
            <w:szCs w:val="24"/>
          </w:rPr>
          <w:t>2</w:t>
        </w:r>
        <w:r w:rsidRPr="00A94B57">
          <w:rPr>
            <w:bCs/>
            <w:szCs w:val="24"/>
          </w:rPr>
          <w:fldChar w:fldCharType="end"/>
        </w:r>
      </w:p>
    </w:sdtContent>
  </w:sdt>
  <w:p w:rsidR="00F046F0" w:rsidRPr="00A94B57" w:rsidRDefault="00F046F0" w:rsidP="00F046F0">
    <w:pPr>
      <w:jc w:val="center"/>
      <w:rPr>
        <w:szCs w:val="24"/>
      </w:rPr>
    </w:pPr>
    <w:r w:rsidRPr="00A94B57">
      <w:rPr>
        <w:szCs w:val="24"/>
      </w:rPr>
      <w:t xml:space="preserve"> RSU/MSAD 64</w:t>
    </w:r>
  </w:p>
  <w:p w:rsidR="00F046F0" w:rsidRPr="00A94B57" w:rsidRDefault="00F046F0" w:rsidP="00F046F0">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IHCDA</w:t>
    </w:r>
  </w:p>
  <w:p w:rsidR="00F046F0" w:rsidRDefault="00F0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EE9"/>
    <w:multiLevelType w:val="singleLevel"/>
    <w:tmpl w:val="453A0E2A"/>
    <w:lvl w:ilvl="0">
      <w:start w:val="1"/>
      <w:numFmt w:val="upperLetter"/>
      <w:lvlText w:val="%1."/>
      <w:lvlJc w:val="left"/>
      <w:pPr>
        <w:tabs>
          <w:tab w:val="num" w:pos="1440"/>
        </w:tabs>
        <w:ind w:left="1440" w:hanging="720"/>
      </w:pPr>
      <w:rPr>
        <w:rFonts w:hint="default"/>
      </w:rPr>
    </w:lvl>
  </w:abstractNum>
  <w:abstractNum w:abstractNumId="1" w15:restartNumberingAfterBreak="0">
    <w:nsid w:val="2A7051F6"/>
    <w:multiLevelType w:val="singleLevel"/>
    <w:tmpl w:val="23B2D2FC"/>
    <w:lvl w:ilvl="0">
      <w:start w:val="2"/>
      <w:numFmt w:val="upperLetter"/>
      <w:lvlText w:val="%1."/>
      <w:lvlJc w:val="left"/>
      <w:pPr>
        <w:tabs>
          <w:tab w:val="num" w:pos="1440"/>
        </w:tabs>
        <w:ind w:left="1440" w:hanging="720"/>
      </w:pPr>
      <w:rPr>
        <w:rFonts w:hint="default"/>
      </w:rPr>
    </w:lvl>
  </w:abstractNum>
  <w:abstractNum w:abstractNumId="2" w15:restartNumberingAfterBreak="0">
    <w:nsid w:val="78CB57D3"/>
    <w:multiLevelType w:val="singleLevel"/>
    <w:tmpl w:val="94AC256C"/>
    <w:lvl w:ilvl="0">
      <w:start w:val="3"/>
      <w:numFmt w:val="upperLetter"/>
      <w:lvlText w:val="%1."/>
      <w:lvlJc w:val="left"/>
      <w:pPr>
        <w:tabs>
          <w:tab w:val="num" w:pos="1080"/>
        </w:tabs>
        <w:ind w:left="1080" w:hanging="360"/>
      </w:pPr>
      <w:rPr>
        <w:rFonts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F0"/>
    <w:rsid w:val="00D0542D"/>
    <w:rsid w:val="00D711B7"/>
    <w:rsid w:val="00F046F0"/>
    <w:rsid w:val="00F9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CF7EA-4F40-4F70-A96B-B7C44133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F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6F0"/>
    <w:pPr>
      <w:tabs>
        <w:tab w:val="center" w:pos="4680"/>
        <w:tab w:val="right" w:pos="9360"/>
      </w:tabs>
    </w:pPr>
  </w:style>
  <w:style w:type="character" w:customStyle="1" w:styleId="HeaderChar">
    <w:name w:val="Header Char"/>
    <w:basedOn w:val="DefaultParagraphFont"/>
    <w:link w:val="Header"/>
    <w:uiPriority w:val="99"/>
    <w:rsid w:val="00F046F0"/>
    <w:rPr>
      <w:rFonts w:ascii="Times New Roman" w:eastAsia="Calibri" w:hAnsi="Times New Roman" w:cs="Times New Roman"/>
      <w:sz w:val="24"/>
    </w:rPr>
  </w:style>
  <w:style w:type="paragraph" w:styleId="Footer">
    <w:name w:val="footer"/>
    <w:basedOn w:val="Normal"/>
    <w:link w:val="FooterChar"/>
    <w:uiPriority w:val="99"/>
    <w:unhideWhenUsed/>
    <w:rsid w:val="00F046F0"/>
    <w:pPr>
      <w:tabs>
        <w:tab w:val="center" w:pos="4680"/>
        <w:tab w:val="right" w:pos="9360"/>
      </w:tabs>
    </w:pPr>
  </w:style>
  <w:style w:type="character" w:customStyle="1" w:styleId="FooterChar">
    <w:name w:val="Footer Char"/>
    <w:basedOn w:val="DefaultParagraphFont"/>
    <w:link w:val="Footer"/>
    <w:uiPriority w:val="99"/>
    <w:rsid w:val="00F046F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2</cp:revision>
  <cp:lastPrinted>2018-07-11T14:19:00Z</cp:lastPrinted>
  <dcterms:created xsi:type="dcterms:W3CDTF">2018-07-11T14:14:00Z</dcterms:created>
  <dcterms:modified xsi:type="dcterms:W3CDTF">2018-09-11T15:15:00Z</dcterms:modified>
</cp:coreProperties>
</file>