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SMART goal is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Specific (and strategic)</w:t>
      </w:r>
      <w:r w:rsidDel="00000000" w:rsidR="00000000" w:rsidRPr="00000000">
        <w:rPr>
          <w:rFonts w:ascii="Calibri" w:cs="Calibri" w:eastAsia="Calibri" w:hAnsi="Calibri"/>
          <w:sz w:val="20"/>
          <w:szCs w:val="20"/>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Measurable:  </w:t>
      </w:r>
      <w:r w:rsidDel="00000000" w:rsidR="00000000" w:rsidRPr="00000000">
        <w:rPr>
          <w:rFonts w:ascii="Calibri" w:cs="Calibri" w:eastAsia="Calibri" w:hAnsi="Calibri"/>
          <w:sz w:val="20"/>
          <w:szCs w:val="20"/>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Attainable/Achievable:</w:t>
      </w:r>
      <w:r w:rsidDel="00000000" w:rsidR="00000000" w:rsidRPr="00000000">
        <w:rPr>
          <w:rFonts w:ascii="Calibri" w:cs="Calibri" w:eastAsia="Calibri" w:hAnsi="Calibri"/>
          <w:sz w:val="20"/>
          <w:szCs w:val="20"/>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Relevant and realistic:</w:t>
      </w:r>
      <w:r w:rsidDel="00000000" w:rsidR="00000000" w:rsidRPr="00000000">
        <w:rPr>
          <w:rFonts w:ascii="Calibri" w:cs="Calibri" w:eastAsia="Calibri" w:hAnsi="Calibri"/>
          <w:sz w:val="20"/>
          <w:szCs w:val="20"/>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Time frame:</w:t>
      </w:r>
      <w:r w:rsidDel="00000000" w:rsidR="00000000" w:rsidRPr="00000000">
        <w:rPr>
          <w:rFonts w:ascii="Calibri" w:cs="Calibri" w:eastAsia="Calibri" w:hAnsi="Calibri"/>
          <w:sz w:val="20"/>
          <w:szCs w:val="20"/>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 a SMART goal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SMART goal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of each month.   Template Modified from</w:t>
      </w:r>
      <w:r w:rsidDel="00000000" w:rsidR="00000000" w:rsidRPr="00000000">
        <w:rPr>
          <w:rFonts w:ascii="Calibri" w:cs="Calibri" w:eastAsia="Calibri" w:hAnsi="Calibri"/>
          <w:i w:val="1"/>
          <w:sz w:val="20"/>
          <w:szCs w:val="20"/>
          <w:rtl w:val="0"/>
        </w:rPr>
        <w:t xml:space="preserve"> Learning by Doing</w:t>
      </w:r>
      <w:r w:rsidDel="00000000" w:rsidR="00000000" w:rsidRPr="00000000">
        <w:rPr>
          <w:rFonts w:ascii="Calibri" w:cs="Calibri" w:eastAsia="Calibri" w:hAnsi="Calibri"/>
          <w:sz w:val="20"/>
          <w:szCs w:val="20"/>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m5arzqm83vax"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ecv31a9l6bhs" w:id="1"/>
      <w:bookmarkEnd w:id="1"/>
      <w:r w:rsidDel="00000000" w:rsidR="00000000" w:rsidRPr="00000000">
        <w:rPr>
          <w:rFonts w:ascii="Nunito" w:cs="Nunito" w:eastAsia="Nunito" w:hAnsi="Nunito"/>
          <w:b w:val="1"/>
          <w:sz w:val="20"/>
          <w:szCs w:val="20"/>
          <w:rtl w:val="0"/>
        </w:rPr>
        <w:t xml:space="preserve">Efficient Systems and Resources Goal: NEASC Process</w:t>
      </w:r>
    </w:p>
    <w:tbl>
      <w:tblPr>
        <w:tblStyle w:val="Table1"/>
        <w:tblW w:w="1399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000"/>
        <w:gridCol w:w="3045"/>
        <w:gridCol w:w="2985"/>
        <w:gridCol w:w="1950"/>
        <w:tblGridChange w:id="0">
          <w:tblGrid>
            <w:gridCol w:w="3015"/>
            <w:gridCol w:w="3000"/>
            <w:gridCol w:w="3045"/>
            <w:gridCol w:w="2985"/>
            <w:gridCol w:w="1950"/>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School</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Name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NEASC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Leader</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Joseph Hurley</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11/15/19</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Team Members</w:t>
            </w:r>
            <w:r w:rsidDel="00000000" w:rsidR="00000000" w:rsidRPr="00000000">
              <w:rPr>
                <w:rFonts w:ascii="Nunito" w:cs="Nunito" w:eastAsia="Nunito" w:hAnsi="Nunito"/>
                <w:b w:val="1"/>
                <w:sz w:val="20"/>
                <w:szCs w:val="20"/>
                <w:rtl w:val="0"/>
              </w:rPr>
              <w:t xml:space="preserve">  Joseph Hurley, Ed Daft, Nicole Varone, Steve Pickford, Kevin Blanchard, NEASC Steering Committee, </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District Strategic Goal(s) from the Scorecard:  Utilize the NEASC Collaborative Conference feedback to develop a consistent process for program evaluation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Develop and implement a School Improvement/Growth Plan based on the following five Priority Areas of Growth;</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 develop and implement a process to ensure course curriculum is common, accessible, and communicated in a consistent format across all disciplines</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 develop a plan to comprehensively embed the school improvement plan and vision of the graduate into school culture to drive instruction</w:t>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 expand leadership opportunities for all stakeholders to promote responsibility for, and ownership of, the school’s core values, beliefs about learning, and vision of the graduate</w:t>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 enhance the physical and social-emotional well-being of all students by improving channels of communication between educators, support staff, health professionals, and families</w:t>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 implement a master schedule to provide opportunities for a longer class block and increased common planning time for professional learning communities</w:t>
            </w:r>
          </w:p>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Analyze Collaborative Conference feedback in  preparation of the submission of the School Improvement/Growth Plan</w:t>
            </w: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Outline a vision for continuous improvement and growth with specific measurable goals targeting the priority areas identified by the school through the self-reflection </w:t>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Steve Pickford, Kevin Blanchard, Joe Hurley, NEASC Steering Committee</w:t>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Steve Pickford, Kevin Blanchard, Joe Hurley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November 2019</w:t>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December 2019/January 2020</w:t>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Beginning of Year</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Review proposed School Improvement/Growth Plan with the faculty </w:t>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Submit the completed School Improvement/Growth Plan to NEASC</w:t>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Present NEASC 2021 Accreditation Visit budget request to central office </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Steve Pickford, Kevin Blanchard, Joe Hurley, NEASC Steering Committee</w:t>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Steve Pickford, Kevin Blanchard</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Joe Hurley, NEASC Steering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January/February 2020</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January/February 2020</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January 2020</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Middle of Year</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Preparation for the NEASC Decennial Visit  </w:t>
            </w:r>
          </w:p>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Steve Pickford, Kevin Blanchard, Joe Hurley, NEASC Steering Committee, Faculty Committees</w:t>
            </w:r>
          </w:p>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March-June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End of Year</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2240" w:w="15840" w:orient="landscape"/>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