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6A" w:rsidRDefault="00581880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INSTRUCTION</w:t>
      </w:r>
    </w:p>
    <w:p w:rsidR="005F116A" w:rsidRDefault="00581880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6:320 Credit for Proficiency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Proficiency Credits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Students wishing to take proficiency examinations shall contact the high school guidance counselor at least one month before the scheduled test date. The Building Principal will notify all </w:t>
      </w:r>
      <w:r>
        <w:rPr>
          <w:rFonts w:ascii="Arial" w:hAnsi="Arial" w:cs="Arial"/>
        </w:rPr>
        <w:t>eligible students of the date or dates of the tests.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 Proficiency Testing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Proficiency testing may be used to determine eligible credit for other subjects whenever students enter from non-graded schools, non-recognized or non-accredited schools, or wer</w:t>
      </w:r>
      <w:r>
        <w:rPr>
          <w:rFonts w:ascii="Arial" w:hAnsi="Arial" w:cs="Arial"/>
        </w:rPr>
        <w:t>e in a home-schooling program.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5/10-22.43, 5/10-22.43a, 5/27-22, and 5/27-24.3.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 Ill.Admin.Code Part 680.</w:t>
      </w:r>
    </w:p>
    <w:p w:rsidR="005F116A" w:rsidRDefault="005818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6:300 (Graduation Requirements), 6:310 (High School Credit for Non-District Experiences; Course Substitutions; Re-E</w:t>
      </w:r>
      <w:r>
        <w:rPr>
          <w:rFonts w:ascii="Arial" w:hAnsi="Arial" w:cs="Arial"/>
        </w:rPr>
        <w:t>ntering Students), 6:315 (High School Credit for Students in Grade 7 or 8)</w:t>
      </w:r>
    </w:p>
    <w:p w:rsidR="005F116A" w:rsidRDefault="00581880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February 17, 2021</w:t>
      </w:r>
      <w:r>
        <w:br/>
      </w:r>
    </w:p>
    <w:p w:rsidR="005F116A" w:rsidRDefault="00581880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5F11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A"/>
    <w:rsid w:val="00581880"/>
    <w:rsid w:val="005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01622-C1A4-475E-BE47-02B4729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cp:lastPrinted>2021-02-24T16:49:00Z</cp:lastPrinted>
  <dcterms:created xsi:type="dcterms:W3CDTF">2021-02-24T16:49:00Z</dcterms:created>
  <dcterms:modified xsi:type="dcterms:W3CDTF">2021-02-24T16:49:00Z</dcterms:modified>
</cp:coreProperties>
</file>