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21" w:rsidRDefault="00191EB8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OPERATIONAL SERVICES</w:t>
      </w:r>
    </w:p>
    <w:p w:rsidR="00855E21" w:rsidRDefault="00191EB8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4:20 Fund Balances</w:t>
      </w:r>
    </w:p>
    <w:p w:rsidR="00855E21" w:rsidRDefault="00191E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Superintendent or designee shall maintain fund balances adequate to ensure the District's ability to maintain levels of service and pay its obligations in a prompt manner in spite of unforeseen events or </w:t>
      </w:r>
      <w:r>
        <w:rPr>
          <w:rFonts w:ascii="Arial" w:hAnsi="Arial" w:cs="Arial"/>
        </w:rPr>
        <w:t>unexpected expenses. The Superintendent or designee shall inform the Board whenever it should discuss drawing upon its reserves or borrowing money.</w:t>
      </w:r>
    </w:p>
    <w:p w:rsidR="00855E21" w:rsidRDefault="00191E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School District seeks to maintain year-end fund balances no less than 100-140 days cash on hand in each </w:t>
      </w:r>
      <w:r>
        <w:rPr>
          <w:rFonts w:ascii="Arial" w:hAnsi="Arial" w:cs="Arial"/>
        </w:rPr>
        <w:t>fund.</w:t>
      </w:r>
    </w:p>
    <w:p w:rsidR="00855E21" w:rsidRDefault="00191EB8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4:10 (Fiscal and Business Management), 4:80 (Accounting and Audits)</w:t>
      </w:r>
    </w:p>
    <w:p w:rsidR="00855E21" w:rsidRDefault="00191EB8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Adopted: April 17, 2019</w:t>
      </w:r>
      <w:r>
        <w:br/>
      </w:r>
    </w:p>
    <w:p w:rsidR="00855E21" w:rsidRDefault="00191EB8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855E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21"/>
    <w:rsid w:val="00191EB8"/>
    <w:rsid w:val="0085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A8907-3D52-48A5-B89E-EF2E4C3D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2020-11-25T16:20:00Z</dcterms:created>
  <dcterms:modified xsi:type="dcterms:W3CDTF">2020-11-25T16:20:00Z</dcterms:modified>
</cp:coreProperties>
</file>