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76" w:rsidRPr="00A60576" w:rsidRDefault="00A60576" w:rsidP="00A60576">
      <w:pPr>
        <w:spacing w:after="0" w:line="240" w:lineRule="auto"/>
        <w:ind w:firstLine="720"/>
        <w:rPr>
          <w:rFonts w:ascii="Times New Roman" w:eastAsia="Times New Roman" w:hAnsi="Times New Roman" w:cs="Times New Roman"/>
          <w:sz w:val="24"/>
          <w:szCs w:val="24"/>
        </w:rPr>
      </w:pPr>
      <w:bookmarkStart w:id="0" w:name="_GoBack"/>
      <w:bookmarkEnd w:id="0"/>
      <w:r w:rsidRPr="00A60576">
        <w:rPr>
          <w:rFonts w:ascii="Times New Roman" w:eastAsia="Times New Roman" w:hAnsi="Times New Roman" w:cs="Times New Roman"/>
          <w:b/>
          <w:bCs/>
          <w:color w:val="000000"/>
          <w:sz w:val="28"/>
          <w:szCs w:val="28"/>
        </w:rPr>
        <w:t xml:space="preserve">Minnesota Virtual Academy Online Syllabus for </w:t>
      </w:r>
      <w:r w:rsidR="00AB0AE8" w:rsidRPr="00AB0AE8">
        <w:rPr>
          <w:rFonts w:ascii="Times New Roman" w:eastAsia="Times New Roman" w:hAnsi="Times New Roman" w:cs="Times New Roman"/>
          <w:b/>
          <w:bCs/>
          <w:color w:val="FF0000"/>
          <w:sz w:val="28"/>
          <w:szCs w:val="28"/>
          <w:shd w:val="clear" w:color="auto" w:fill="FFFF00"/>
        </w:rPr>
        <w:t xml:space="preserve">Spanish </w:t>
      </w:r>
      <w:r w:rsidR="00BD2553">
        <w:rPr>
          <w:rFonts w:ascii="Times New Roman" w:eastAsia="Times New Roman" w:hAnsi="Times New Roman" w:cs="Times New Roman"/>
          <w:b/>
          <w:bCs/>
          <w:color w:val="FF0000"/>
          <w:sz w:val="28"/>
          <w:szCs w:val="28"/>
          <w:shd w:val="clear" w:color="auto" w:fill="FFFF00"/>
        </w:rPr>
        <w:t>3</w:t>
      </w:r>
    </w:p>
    <w:p w:rsidR="00A60576" w:rsidRPr="00A60576" w:rsidRDefault="00A60576" w:rsidP="00A60576">
      <w:pPr>
        <w:spacing w:after="240" w:line="240" w:lineRule="auto"/>
        <w:rPr>
          <w:rFonts w:ascii="Times New Roman" w:eastAsia="Times New Roman" w:hAnsi="Times New Roman" w:cs="Times New Roman"/>
          <w:sz w:val="24"/>
          <w:szCs w:val="24"/>
        </w:rPr>
      </w:pPr>
    </w:p>
    <w:p w:rsidR="00A60576" w:rsidRPr="00A60576" w:rsidRDefault="00A60576" w:rsidP="00A60576">
      <w:pPr>
        <w:spacing w:after="0" w:line="240" w:lineRule="auto"/>
        <w:jc w:val="center"/>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A) Instructional Contact, Communication and Academic Support Information</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Teacher Name:  </w:t>
      </w:r>
      <w:r w:rsidR="00AB0AE8">
        <w:rPr>
          <w:rFonts w:ascii="Times New Roman" w:eastAsia="Times New Roman" w:hAnsi="Times New Roman" w:cs="Times New Roman"/>
          <w:b/>
          <w:bCs/>
          <w:color w:val="000000"/>
          <w:sz w:val="24"/>
          <w:szCs w:val="24"/>
        </w:rPr>
        <w:t xml:space="preserve">Señora Lopez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shd w:val="clear" w:color="auto" w:fill="FFFF00"/>
        </w:rPr>
        <w:t xml:space="preserve">Teacher Phone Number: </w:t>
      </w:r>
      <w:r w:rsidR="00AB0AE8">
        <w:rPr>
          <w:rFonts w:ascii="Times New Roman" w:eastAsia="Times New Roman" w:hAnsi="Times New Roman" w:cs="Times New Roman"/>
          <w:b/>
          <w:bCs/>
          <w:color w:val="000000"/>
          <w:sz w:val="24"/>
          <w:szCs w:val="24"/>
          <w:shd w:val="clear" w:color="auto" w:fill="FFFF00"/>
        </w:rPr>
        <w:t xml:space="preserve"> </w:t>
      </w:r>
      <w:r w:rsidR="00AB0AE8">
        <w:t>(612) 361-3644</w:t>
      </w: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shd w:val="clear" w:color="auto" w:fill="FFFF00"/>
        </w:rPr>
        <w:t>Teacher Skype Username:</w:t>
      </w:r>
      <w:r w:rsidR="00AB0AE8">
        <w:rPr>
          <w:rFonts w:ascii="Times New Roman" w:eastAsia="Times New Roman" w:hAnsi="Times New Roman" w:cs="Times New Roman"/>
          <w:b/>
          <w:bCs/>
          <w:color w:val="000000"/>
          <w:sz w:val="24"/>
          <w:szCs w:val="24"/>
          <w:shd w:val="clear" w:color="auto" w:fill="FFFF00"/>
        </w:rPr>
        <w:t xml:space="preserve">  ann.lopez.mnvaspanish</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B0AE8"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shd w:val="clear" w:color="auto" w:fill="FFFF00"/>
        </w:rPr>
        <w:t>Class Connect Times:</w:t>
      </w:r>
      <w:r w:rsidRPr="00A60576">
        <w:rPr>
          <w:rFonts w:ascii="Times New Roman" w:eastAsia="Times New Roman" w:hAnsi="Times New Roman" w:cs="Times New Roman"/>
          <w:b/>
          <w:bCs/>
          <w:color w:val="000000"/>
          <w:sz w:val="24"/>
          <w:szCs w:val="24"/>
        </w:rPr>
        <w:t xml:space="preserve">  </w:t>
      </w:r>
      <w:r w:rsidR="00AB0AE8">
        <w:rPr>
          <w:rFonts w:ascii="Times New Roman" w:eastAsia="Times New Roman" w:hAnsi="Times New Roman" w:cs="Times New Roman"/>
          <w:bCs/>
          <w:color w:val="000000"/>
          <w:sz w:val="24"/>
          <w:szCs w:val="24"/>
        </w:rPr>
        <w:t xml:space="preserve">Required time:  Thursdays from </w:t>
      </w:r>
      <w:r w:rsidR="009E468A">
        <w:rPr>
          <w:rFonts w:ascii="Times New Roman" w:eastAsia="Times New Roman" w:hAnsi="Times New Roman" w:cs="Times New Roman"/>
          <w:bCs/>
          <w:color w:val="000000"/>
          <w:sz w:val="24"/>
          <w:szCs w:val="24"/>
        </w:rPr>
        <w:t>11:00 to 11:30</w:t>
      </w: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Teacher Contact Time</w:t>
      </w:r>
    </w:p>
    <w:p w:rsidR="00A60576" w:rsidRPr="00A60576" w:rsidRDefault="00A60576" w:rsidP="00A60576">
      <w:pPr>
        <w:pBdr>
          <w:left w:val="single" w:sz="4" w:space="1" w:color="000000"/>
          <w:right w:val="single" w:sz="4" w:space="1" w:color="000000"/>
        </w:pBdr>
        <w:spacing w:after="12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Class Connect sessions are designed to provide instructional, academic, and social support to our students.  These sessions are provided to tie the lessons within the Online Learning System and the MN standards together to improve student achievement.  Class Connects sessions are conducted via Blackboard. The times scheduled for Class Connects are listed above. </w:t>
      </w:r>
      <w:r w:rsidRPr="00A60576">
        <w:rPr>
          <w:rFonts w:ascii="Times New Roman" w:eastAsia="Times New Roman" w:hAnsi="Times New Roman" w:cs="Times New Roman"/>
          <w:b/>
          <w:bCs/>
          <w:i/>
          <w:iCs/>
          <w:color w:val="000000"/>
          <w:sz w:val="24"/>
          <w:szCs w:val="24"/>
        </w:rPr>
        <w:t>Attendance for Class Connect sessions is mandatory.  Attendance is recorded by attending class live or by watching the recording and submitting the required documentation to your teacher.</w:t>
      </w:r>
    </w:p>
    <w:p w:rsidR="00A60576" w:rsidRPr="00A60576" w:rsidRDefault="00A60576" w:rsidP="00A60576">
      <w:pPr>
        <w:pBdr>
          <w:left w:val="single" w:sz="4" w:space="1" w:color="000000"/>
          <w:right w:val="single" w:sz="4" w:space="1" w:color="000000"/>
        </w:pBdr>
        <w:spacing w:after="12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The instructor will respond to students within 24 hours on scheduled school days, Monday through Friday, unless the teacher has previously notified their students that they will be unavailable for a period of time. Non-verbal communication is the primary communication platform for </w:t>
      </w:r>
      <w:r w:rsidRPr="00A60576">
        <w:rPr>
          <w:rFonts w:ascii="Times New Roman" w:eastAsia="Times New Roman" w:hAnsi="Times New Roman" w:cs="Times New Roman"/>
          <w:color w:val="000000"/>
          <w:sz w:val="24"/>
          <w:szCs w:val="24"/>
          <w:shd w:val="clear" w:color="auto" w:fill="FFFF00"/>
        </w:rPr>
        <w:t>MNVA-High School</w:t>
      </w:r>
      <w:r w:rsidRPr="00A60576">
        <w:rPr>
          <w:rFonts w:ascii="Times New Roman" w:eastAsia="Times New Roman" w:hAnsi="Times New Roman" w:cs="Times New Roman"/>
          <w:color w:val="000000"/>
          <w:sz w:val="24"/>
          <w:szCs w:val="24"/>
        </w:rPr>
        <w:t xml:space="preserve"> teachers, students, Learning Coach, and administration. Often, the information is time-sensitive, and many items require a specific response. Most communications to </w:t>
      </w:r>
      <w:r w:rsidRPr="00A60576">
        <w:rPr>
          <w:rFonts w:ascii="Times New Roman" w:eastAsia="Times New Roman" w:hAnsi="Times New Roman" w:cs="Times New Roman"/>
          <w:color w:val="000000"/>
          <w:sz w:val="24"/>
          <w:szCs w:val="24"/>
          <w:shd w:val="clear" w:color="auto" w:fill="FFFF00"/>
        </w:rPr>
        <w:t>MNVA-High School</w:t>
      </w:r>
      <w:r w:rsidRPr="00A60576">
        <w:rPr>
          <w:rFonts w:ascii="Times New Roman" w:eastAsia="Times New Roman" w:hAnsi="Times New Roman" w:cs="Times New Roman"/>
          <w:color w:val="000000"/>
          <w:sz w:val="24"/>
          <w:szCs w:val="24"/>
        </w:rPr>
        <w:t xml:space="preserve"> students will be sent via e-mail.</w:t>
      </w:r>
      <w:r w:rsidRPr="00A60576">
        <w:rPr>
          <w:rFonts w:ascii="Times New Roman" w:eastAsia="Times New Roman" w:hAnsi="Times New Roman" w:cs="Times New Roman"/>
          <w:color w:val="0000FF"/>
          <w:sz w:val="24"/>
          <w:szCs w:val="24"/>
        </w:rPr>
        <w:t xml:space="preserve">  </w:t>
      </w:r>
      <w:r w:rsidRPr="00A60576">
        <w:rPr>
          <w:rFonts w:ascii="Times New Roman" w:eastAsia="Times New Roman" w:hAnsi="Times New Roman" w:cs="Times New Roman"/>
          <w:color w:val="000000"/>
          <w:sz w:val="24"/>
          <w:szCs w:val="24"/>
        </w:rPr>
        <w:t xml:space="preserve">However, teachers might use other methods such as Skype or phone calls to contact students if that method is preferred. </w:t>
      </w:r>
    </w:p>
    <w:p w:rsidR="00A60576" w:rsidRPr="00A60576" w:rsidRDefault="00A60576" w:rsidP="00A60576">
      <w:pPr>
        <w:pBdr>
          <w:left w:val="single" w:sz="4" w:space="1" w:color="000000"/>
          <w:bottom w:val="single" w:sz="4" w:space="1" w:color="000000"/>
          <w:right w:val="single" w:sz="4" w:space="1" w:color="000000"/>
        </w:pBdr>
        <w:spacing w:after="12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Major projects or research papers submitted by the students will be processed and graded within a week.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Student-to-Teacher Communications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Students may contact the teacher using the following methods: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00"/>
        </w:rPr>
        <w:t xml:space="preserve">Teacher Skype Username: </w:t>
      </w:r>
      <w:r w:rsidR="00254F7E">
        <w:rPr>
          <w:rFonts w:ascii="Times New Roman" w:eastAsia="Times New Roman" w:hAnsi="Times New Roman" w:cs="Times New Roman"/>
          <w:color w:val="000000"/>
          <w:sz w:val="24"/>
          <w:szCs w:val="24"/>
          <w:shd w:val="clear" w:color="auto" w:fill="FFFF00"/>
        </w:rPr>
        <w:t xml:space="preserve">ann.lopez.mnvasspanish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00"/>
        </w:rPr>
        <w:t xml:space="preserve">Teacher Phone and voicemail: </w:t>
      </w:r>
      <w:r w:rsidR="00254F7E">
        <w:rPr>
          <w:rFonts w:ascii="Times New Roman" w:eastAsia="Times New Roman" w:hAnsi="Times New Roman" w:cs="Times New Roman"/>
          <w:color w:val="000000"/>
          <w:sz w:val="24"/>
          <w:szCs w:val="24"/>
          <w:shd w:val="clear" w:color="auto" w:fill="FFFF00"/>
        </w:rPr>
        <w:t xml:space="preserve"> </w:t>
      </w:r>
      <w:r w:rsidR="00254F7E">
        <w:t>(612) 361-3644</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00"/>
        </w:rPr>
        <w:t>Teacher E-mail:</w:t>
      </w:r>
      <w:r w:rsidRPr="00A60576">
        <w:rPr>
          <w:rFonts w:ascii="Times New Roman" w:eastAsia="Times New Roman" w:hAnsi="Times New Roman" w:cs="Times New Roman"/>
          <w:color w:val="000000"/>
          <w:sz w:val="24"/>
          <w:szCs w:val="24"/>
        </w:rPr>
        <w:t xml:space="preserve"> </w:t>
      </w:r>
      <w:r w:rsidR="00254F7E">
        <w:rPr>
          <w:rFonts w:ascii="Times New Roman" w:eastAsia="Times New Roman" w:hAnsi="Times New Roman" w:cs="Times New Roman"/>
          <w:color w:val="000000"/>
          <w:sz w:val="24"/>
          <w:szCs w:val="24"/>
        </w:rPr>
        <w:t>alopez@mnva.org</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Student Attendance Expectations</w:t>
      </w:r>
      <w:r w:rsidRPr="00A60576">
        <w:rPr>
          <w:rFonts w:ascii="Times New Roman" w:eastAsia="Times New Roman" w:hAnsi="Times New Roman" w:cs="Times New Roman"/>
          <w:b/>
          <w:bCs/>
          <w:color w:val="000000"/>
          <w:sz w:val="24"/>
          <w:szCs w:val="24"/>
        </w:rPr>
        <w:t xml:space="preserve">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 xml:space="preserve">Attendance Policy-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The Minnesota Virtual Academy school year is 174 days in length and students should participate 6 hours a day for 5 days a week. The overall attendance should equate to 6 hours </w:t>
      </w:r>
      <w:r w:rsidRPr="00A60576">
        <w:rPr>
          <w:rFonts w:ascii="Times New Roman" w:eastAsia="Times New Roman" w:hAnsi="Times New Roman" w:cs="Times New Roman"/>
          <w:color w:val="000000"/>
          <w:sz w:val="24"/>
          <w:szCs w:val="24"/>
        </w:rPr>
        <w:lastRenderedPageBreak/>
        <w:t>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Absences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sidRPr="00A60576">
        <w:rPr>
          <w:rFonts w:ascii="Times New Roman" w:eastAsia="Times New Roman" w:hAnsi="Times New Roman" w:cs="Times New Roman"/>
          <w:b/>
          <w:bCs/>
          <w:i/>
          <w:iCs/>
          <w:color w:val="000000"/>
          <w:sz w:val="24"/>
          <w:szCs w:val="24"/>
        </w:rPr>
        <w:t>Students are expected to participate in all classes assigned each day.</w:t>
      </w:r>
      <w:r w:rsidRPr="00A60576">
        <w:rPr>
          <w:rFonts w:ascii="Times New Roman" w:eastAsia="Times New Roman" w:hAnsi="Times New Roman" w:cs="Times New Roman"/>
          <w:color w:val="000000"/>
          <w:sz w:val="24"/>
          <w:szCs w:val="24"/>
        </w:rPr>
        <w:t xml:space="preserve"> Missing a class period, which generally fills one hour of school, will be reported as an unexcused absence, unless it meets the requirements for excused absences and the school has been notified in advance. </w:t>
      </w:r>
      <w:r w:rsidRPr="00A60576">
        <w:rPr>
          <w:rFonts w:ascii="Times New Roman" w:eastAsia="Times New Roman" w:hAnsi="Times New Roman" w:cs="Times New Roman"/>
          <w:b/>
          <w:bCs/>
          <w:color w:val="000000"/>
          <w:sz w:val="24"/>
          <w:szCs w:val="24"/>
        </w:rPr>
        <w:t>A school day is comprised of the following, and missing any of these will result in an absence for the day: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a. The scheduled online lessons in the D2L</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b. D2L lessons, equaling approximately 6 hours of school work (for full-time students) must be complete in the D2L (Minn. Stat. §120A.41)</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c. Ideally students will complete each subject on a daily basis, or as scheduled weekly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within the default settings. If students wish to modify their assigned schedules, this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may be done if it is agreed upon by their assigned classroom teacher(s) involved in the modified schedule;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d. Online work must be verifiable. Work is verified by completing both online and offline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activities, assignments, and assessments. If online work should ever need verification</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for authenticity, students and/or learning coaches must submit all paper copies of said activities, assignments and/or assessments to their assigned homeroom teacher by the due date given;</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f. The scheduled direct service instruction provided by a special education teacher, English Learner teacher or other specialist, as outlined in the student’s service agreement.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Recording Attendance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Good attendance is essential for school achievement and success</w:t>
      </w:r>
      <w:r w:rsidRPr="00A60576">
        <w:rPr>
          <w:rFonts w:ascii="Times New Roman" w:eastAsia="Times New Roman" w:hAnsi="Times New Roman" w:cs="Times New Roman"/>
          <w:b/>
          <w:bCs/>
          <w:color w:val="000000"/>
          <w:sz w:val="24"/>
          <w:szCs w:val="24"/>
        </w:rPr>
        <w:t>. If your child is ill or has a valid excuse for the absence, you must notify the school by reporting it on our online e-form, posted on our school website and made available through the school advisors and homeroom teachers.</w:t>
      </w:r>
      <w:r w:rsidRPr="00A60576">
        <w:rPr>
          <w:rFonts w:ascii="Times New Roman" w:eastAsia="Times New Roman" w:hAnsi="Times New Roman" w:cs="Times New Roman"/>
          <w:color w:val="000000"/>
          <w:sz w:val="24"/>
          <w:szCs w:val="24"/>
        </w:rPr>
        <w:t xml:space="preserve"> Teachers are solely responsible for reporting unexcused absences. Daily, teachers will verify the attendance hours reported in D2L by reviewing the time spent on </w:t>
      </w:r>
      <w:r w:rsidRPr="00A60576">
        <w:rPr>
          <w:rFonts w:ascii="Times New Roman" w:eastAsia="Times New Roman" w:hAnsi="Times New Roman" w:cs="Times New Roman"/>
          <w:color w:val="000000"/>
          <w:sz w:val="24"/>
          <w:szCs w:val="24"/>
        </w:rPr>
        <w:lastRenderedPageBreak/>
        <w:t>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Excused and Unexcused Absences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Parents or legal guardians must report all student’s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Subd. 12). Excessive excused absences for medical reasons may require doctor’s verification of the absences.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Truancy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A student who has missed three or more class periods for three or more days is considered a “continuing truant” under the law (Minn. Stat. §260A.02, Subd. 3). A student who is absent for one or more class periods for seven school days or more is considered an “habitual truant” under the law (Minn. Stat. §260C.007, Subd. 19. A parent 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truancy (applicable to children age twelve and over), the child may be subject to a variety of court-ordered dispositions, including suspension, restriction or delay of the child’s driving privileges, pursuant to Minn. Stat. §260C.201.</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If a student is having attendance concerns, parents may schedule a meeting with appropriate school personnel to discuss solutions to a child’s truancy. Possible solutions might include: the child’s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lastRenderedPageBreak/>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Vacations and Extended Breaks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Families wishing to take vacations or extended breaks during the school year must notify either their student’s grade level advisor or homeroom teacher of the absences prior to the vacation.</w:t>
      </w:r>
      <w:r w:rsidRPr="00A60576">
        <w:rPr>
          <w:rFonts w:ascii="Times New Roman" w:eastAsia="Times New Roman" w:hAnsi="Times New Roman" w:cs="Times New Roman"/>
          <w:b/>
          <w:bCs/>
          <w:color w:val="000000"/>
          <w:sz w:val="24"/>
          <w:szCs w:val="24"/>
        </w:rPr>
        <w:t xml:space="preserve"> Extended breaks must have approval from the Administration if the vacation is planned for more than three days. </w:t>
      </w:r>
      <w:r w:rsidRPr="00A60576">
        <w:rPr>
          <w:rFonts w:ascii="Times New Roman" w:eastAsia="Times New Roman" w:hAnsi="Times New Roman" w:cs="Times New Roman"/>
          <w:color w:val="000000"/>
          <w:sz w:val="24"/>
          <w:szCs w:val="24"/>
        </w:rPr>
        <w:t>Failure to notify the school personal in advance of the absence will result in the day(s) being marked as unexcused absences and subject to all Minnesota school attendance laws.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School Closings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Because MNVA is a virtual school, we are not subject to school closings due to inclement weather. Students are expected to log in and participate in their daily classroom schedule, even when Houston Public School’s traditional sites are closed.</w:t>
      </w:r>
      <w:r w:rsidRPr="00A60576">
        <w:rPr>
          <w:rFonts w:ascii="Times New Roman" w:eastAsia="Times New Roman" w:hAnsi="Times New Roman" w:cs="Times New Roman"/>
          <w:b/>
          <w:bCs/>
          <w:color w:val="000000"/>
          <w:sz w:val="24"/>
          <w:szCs w:val="24"/>
        </w:rPr>
        <w:t xml:space="preserve"> </w:t>
      </w:r>
    </w:p>
    <w:p w:rsidR="00A60576" w:rsidRPr="00A60576" w:rsidRDefault="00A60576" w:rsidP="00A60576">
      <w:pPr>
        <w:spacing w:after="24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shd w:val="clear" w:color="auto" w:fill="FFFFFF"/>
        </w:rPr>
        <w:t>Academic Support Available</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shd w:val="clear" w:color="auto" w:fill="FFFFFF"/>
        </w:rPr>
        <w:t xml:space="preserve">Each student has multiple staff available to provide support.  In addition to the availability of scheduling one-on-one sessions with the instructor, students may contact their homeroom teacher and/or school counselor to offer assistance.   The homeroom teacher will be monitoring student class attendance and grades, work with their homeroom students to complete the PLP (personalized learning plan) and checking in with their student to provide support in terms of school related issues.  The counselors serve to ensure the student is enrolled in the necessary coursework, both for graduation requirements and preparation for pursuits beyond high school. School counselors also provide social and emotional support for our students.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60576" w:rsidRPr="00A60576" w:rsidTr="00A60576">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Technical Support Available</w:t>
            </w: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If a student is using his/her home computer, the student is responsible for computer hardware and software issues. If a technical need arises in regard to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rsidR="00A60576" w:rsidRPr="00A60576" w:rsidRDefault="00A60576" w:rsidP="00A60576">
            <w:pPr>
              <w:spacing w:after="0" w:line="240" w:lineRule="auto"/>
              <w:rPr>
                <w:rFonts w:ascii="Times New Roman" w:eastAsia="Times New Roman" w:hAnsi="Times New Roman" w:cs="Times New Roman"/>
                <w:sz w:val="24"/>
                <w:szCs w:val="24"/>
              </w:rPr>
            </w:pPr>
          </w:p>
        </w:tc>
      </w:tr>
    </w:tbl>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p>
    <w:p w:rsidR="00A60576" w:rsidRP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Communications with Resident District for Part-time Students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lastRenderedPageBreak/>
        <w:t>Format and Frequency of Reports: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The Lead Academic Advisor faxes grades at mid-semester and the end of the semester to the local school contact person, the parent and the student.  If requested by the enrolling district, progress reports are faxed on a more regular basis.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 xml:space="preserve">Format and Frequency of Communication: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The Lead Academic Advisor phones or emails the enrolling district if any of the following issues arise:</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Plagiarism</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Lack of Attendance</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Lack of Progress toward Course Completion</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Compliance requirements due to 504 Plans or IEPs.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Final Grades and Submission:</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The Lead Academic Advisor faxes final grades within 10 days of the end of the semester unless the enrolling district has requested the grades earlier.</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B) Course Outline</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254F7E"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254F7E">
        <w:rPr>
          <w:rFonts w:ascii="Times New Roman" w:eastAsia="Times New Roman" w:hAnsi="Times New Roman" w:cs="Times New Roman"/>
          <w:b/>
          <w:bCs/>
          <w:color w:val="000000"/>
          <w:sz w:val="24"/>
          <w:szCs w:val="24"/>
          <w:shd w:val="clear" w:color="auto" w:fill="FFFF00"/>
        </w:rPr>
        <w:t>Course Name:  </w:t>
      </w:r>
      <w:r w:rsidR="00254F7E" w:rsidRPr="00254F7E">
        <w:rPr>
          <w:rFonts w:ascii="Times New Roman" w:eastAsia="Times New Roman" w:hAnsi="Times New Roman" w:cs="Times New Roman"/>
          <w:b/>
          <w:bCs/>
          <w:color w:val="000000"/>
          <w:sz w:val="24"/>
          <w:szCs w:val="24"/>
          <w:shd w:val="clear" w:color="auto" w:fill="FFFF00"/>
        </w:rPr>
        <w:t xml:space="preserve">  Spanish </w:t>
      </w:r>
      <w:r w:rsidR="009E468A">
        <w:rPr>
          <w:rFonts w:ascii="Times New Roman" w:eastAsia="Times New Roman" w:hAnsi="Times New Roman" w:cs="Times New Roman"/>
          <w:b/>
          <w:bCs/>
          <w:color w:val="000000"/>
          <w:sz w:val="24"/>
          <w:szCs w:val="24"/>
          <w:shd w:val="clear" w:color="auto" w:fill="FFFF00"/>
        </w:rPr>
        <w:t>3</w:t>
      </w:r>
    </w:p>
    <w:p w:rsidR="00A60576" w:rsidRPr="00254F7E"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254F7E">
        <w:rPr>
          <w:rFonts w:ascii="Times New Roman" w:eastAsia="Times New Roman" w:hAnsi="Times New Roman" w:cs="Times New Roman"/>
          <w:b/>
          <w:bCs/>
          <w:color w:val="000000"/>
          <w:sz w:val="24"/>
          <w:szCs w:val="24"/>
          <w:shd w:val="clear" w:color="auto" w:fill="FFFF00"/>
        </w:rPr>
        <w:t>Course Credits:</w:t>
      </w:r>
      <w:r w:rsidRPr="00254F7E">
        <w:rPr>
          <w:rFonts w:ascii="Times New Roman" w:eastAsia="Times New Roman" w:hAnsi="Times New Roman" w:cs="Times New Roman"/>
          <w:color w:val="000000"/>
          <w:sz w:val="24"/>
          <w:szCs w:val="24"/>
          <w:shd w:val="clear" w:color="auto" w:fill="FFFF00"/>
        </w:rPr>
        <w:t xml:space="preserve"> </w:t>
      </w:r>
      <w:r w:rsidR="00254F7E">
        <w:rPr>
          <w:rFonts w:ascii="Times New Roman" w:eastAsia="Times New Roman" w:hAnsi="Times New Roman" w:cs="Times New Roman"/>
          <w:color w:val="000000"/>
          <w:sz w:val="24"/>
          <w:szCs w:val="24"/>
          <w:shd w:val="clear" w:color="auto" w:fill="FFFF00"/>
        </w:rPr>
        <w:t xml:space="preserve"> </w:t>
      </w:r>
      <w:r w:rsidR="009F5536">
        <w:rPr>
          <w:rFonts w:ascii="Times New Roman" w:eastAsia="Times New Roman" w:hAnsi="Times New Roman" w:cs="Times New Roman"/>
          <w:color w:val="000000"/>
          <w:sz w:val="24"/>
          <w:szCs w:val="24"/>
          <w:shd w:val="clear" w:color="auto" w:fill="FFFF00"/>
        </w:rPr>
        <w:t>2 semesters</w:t>
      </w:r>
    </w:p>
    <w:p w:rsidR="00A60576" w:rsidRPr="00A60576" w:rsidRDefault="00A60576" w:rsidP="00A60576">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254F7E">
        <w:rPr>
          <w:rFonts w:ascii="Times New Roman" w:eastAsia="Times New Roman" w:hAnsi="Times New Roman" w:cs="Times New Roman"/>
          <w:b/>
          <w:bCs/>
          <w:color w:val="000000"/>
          <w:sz w:val="24"/>
          <w:szCs w:val="24"/>
          <w:shd w:val="clear" w:color="auto" w:fill="FFFF00"/>
        </w:rPr>
        <w:t>Course Prerequisites:</w:t>
      </w:r>
      <w:r w:rsidRPr="00A60576">
        <w:rPr>
          <w:rFonts w:ascii="Times New Roman" w:eastAsia="Times New Roman" w:hAnsi="Times New Roman" w:cs="Times New Roman"/>
          <w:b/>
          <w:bCs/>
          <w:color w:val="000000"/>
          <w:sz w:val="24"/>
          <w:szCs w:val="24"/>
          <w:shd w:val="clear" w:color="auto" w:fill="FFFF00"/>
        </w:rPr>
        <w:t xml:space="preserve"> </w:t>
      </w:r>
      <w:r w:rsidR="009F5536">
        <w:rPr>
          <w:rFonts w:ascii="Times New Roman" w:eastAsia="Times New Roman" w:hAnsi="Times New Roman" w:cs="Times New Roman"/>
          <w:b/>
          <w:bCs/>
          <w:color w:val="000000"/>
          <w:sz w:val="24"/>
          <w:szCs w:val="24"/>
          <w:shd w:val="clear" w:color="auto" w:fill="FFFF00"/>
        </w:rPr>
        <w:t>Spanish 1</w:t>
      </w:r>
      <w:r w:rsidR="009E468A">
        <w:rPr>
          <w:rFonts w:ascii="Times New Roman" w:eastAsia="Times New Roman" w:hAnsi="Times New Roman" w:cs="Times New Roman"/>
          <w:b/>
          <w:bCs/>
          <w:color w:val="000000"/>
          <w:sz w:val="24"/>
          <w:szCs w:val="24"/>
          <w:shd w:val="clear" w:color="auto" w:fill="FFFF00"/>
        </w:rPr>
        <w:t xml:space="preserve"> and 2</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b/>
          <w:bCs/>
          <w:color w:val="000000"/>
          <w:sz w:val="24"/>
          <w:szCs w:val="24"/>
          <w:u w:val="single"/>
          <w:shd w:val="clear" w:color="auto" w:fill="FFFF00"/>
        </w:rPr>
      </w:pPr>
      <w:r w:rsidRPr="00A60576">
        <w:rPr>
          <w:rFonts w:ascii="Times New Roman" w:eastAsia="Times New Roman" w:hAnsi="Times New Roman" w:cs="Times New Roman"/>
          <w:b/>
          <w:bCs/>
          <w:color w:val="000000"/>
          <w:sz w:val="24"/>
          <w:szCs w:val="24"/>
          <w:u w:val="single"/>
          <w:shd w:val="clear" w:color="auto" w:fill="FFFF00"/>
        </w:rPr>
        <w:t>Course Goals and Objectives</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r w:rsidR="009E468A">
        <w:t xml:space="preserve">Students further deepen their understanding of Spanish by focusing on the three modes of communication: interpretive, interpersonal, and presentational. Each unit consists of a variety of activities which teach the students how to understand more difficult written and spoken passages, to communicate with others through informal speaking and writing interactions, and to express their thoughts and opinions in both formal and informal spoken and written contexts. Students should expect to be actively engaged in their own language learning, use correct vocabulary terms and phrases naturally, incorporate a wide range of grammar concepts consistently and correctly while speaking and writing, participate in conversations covering a wide range of topics, respond appropriately to conversational prompts, analyze and compare cultural practices, products, and perspectives of various Spanish-speaking countries, read and analyze important pieces of Hispanic literature, and take frequent assessments where their language progression can be monitored. The course is conducted almost </w:t>
      </w:r>
      <w:r w:rsidR="009E468A">
        <w:lastRenderedPageBreak/>
        <w:t>entirely in Spanish. The course has been carefully aligned to national standards as set forth by ACTFL (the American Council on the Teaching of Foreign Languages).</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color w:val="FF0000"/>
          <w:sz w:val="24"/>
          <w:szCs w:val="24"/>
          <w:shd w:val="clear" w:color="auto" w:fill="FFFF00"/>
        </w:rPr>
      </w:pPr>
      <w:r w:rsidRPr="00A60576">
        <w:rPr>
          <w:rFonts w:ascii="Times New Roman" w:eastAsia="Times New Roman" w:hAnsi="Times New Roman" w:cs="Times New Roman"/>
          <w:b/>
          <w:bCs/>
          <w:color w:val="000000"/>
          <w:sz w:val="24"/>
          <w:szCs w:val="24"/>
          <w:u w:val="single"/>
          <w:shd w:val="clear" w:color="auto" w:fill="FFFF00"/>
        </w:rPr>
        <w:t>Topic Outline</w:t>
      </w:r>
      <w:r w:rsidRPr="00A60576">
        <w:rPr>
          <w:rFonts w:ascii="Times New Roman" w:eastAsia="Times New Roman" w:hAnsi="Times New Roman" w:cs="Times New Roman"/>
          <w:b/>
          <w:bCs/>
          <w:color w:val="000000"/>
          <w:sz w:val="24"/>
          <w:szCs w:val="24"/>
        </w:rPr>
        <w:t xml:space="preserve"> </w:t>
      </w:r>
      <w:r w:rsidRPr="00A60576">
        <w:rPr>
          <w:rFonts w:ascii="Times New Roman" w:eastAsia="Times New Roman" w:hAnsi="Times New Roman" w:cs="Times New Roman"/>
          <w:color w:val="000000"/>
          <w:sz w:val="24"/>
          <w:szCs w:val="24"/>
        </w:rPr>
        <w:t>  </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5D0813" w:rsidRPr="005D0813" w:rsidRDefault="005D0813" w:rsidP="005D0813">
      <w:pPr>
        <w:spacing w:before="100" w:beforeAutospacing="1" w:after="100" w:afterAutospacing="1" w:line="240" w:lineRule="auto"/>
        <w:outlineLvl w:val="2"/>
        <w:rPr>
          <w:rFonts w:ascii="Times New Roman" w:eastAsia="Times New Roman" w:hAnsi="Times New Roman" w:cs="Times New Roman"/>
          <w:b/>
          <w:bCs/>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tblGrid>
      <w:tr w:rsidR="005D0813" w:rsidRPr="005D0813" w:rsidTr="005D0813">
        <w:trPr>
          <w:tblCellSpacing w:w="15" w:type="dxa"/>
        </w:trPr>
        <w:tc>
          <w:tcPr>
            <w:tcW w:w="500" w:type="pct"/>
            <w:vAlign w:val="center"/>
            <w:hideMark/>
          </w:tcPr>
          <w:p w:rsidR="005D0813" w:rsidRPr="005D0813" w:rsidRDefault="005D0813" w:rsidP="005D0813">
            <w:pPr>
              <w:spacing w:after="0" w:line="240" w:lineRule="auto"/>
              <w:rPr>
                <w:rFonts w:ascii="Times New Roman" w:eastAsia="Times New Roman" w:hAnsi="Times New Roman" w:cs="Times New Roman"/>
                <w:sz w:val="24"/>
                <w:szCs w:val="24"/>
              </w:rPr>
            </w:pPr>
          </w:p>
        </w:tc>
      </w:tr>
    </w:tbl>
    <w:p w:rsidR="005D0813" w:rsidRPr="00A60576"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9E468A" w:rsidRPr="009E468A" w:rsidRDefault="00A60576" w:rsidP="009E468A">
      <w:pPr>
        <w:pStyle w:val="Heading3"/>
      </w:pPr>
      <w:r w:rsidRPr="00A60576">
        <w:rPr>
          <w:sz w:val="24"/>
          <w:szCs w:val="24"/>
        </w:rPr>
        <w:t> </w:t>
      </w:r>
      <w:r w:rsidR="009E468A" w:rsidRPr="009E468A">
        <w:t>The High School Spanish III course helps students</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Engage in language learning</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Begin to prepare for the AP Spanish test</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Review and expand upon a wide range of grammar patterns</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Participate in detailed conversations and respond appropriately to a variety of conversational prompts</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Generate language incorporating advanced vocabulary and grammar patterns</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Read, write, speak, and listen for meaning using advanced Spanish</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Analyze and compare cultural practices, products, and perspectives of various Spanish-speaking countries</w:t>
      </w:r>
    </w:p>
    <w:p w:rsidR="009E468A" w:rsidRPr="009E468A" w:rsidRDefault="009E468A" w:rsidP="009E468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Regularly assess progress in proficiency through quizzes, tests, and speaking/writing submissions</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Vocabulary Theme</w:t>
      </w:r>
    </w:p>
    <w:p w:rsidR="009E468A" w:rsidRPr="009E468A" w:rsidRDefault="009E468A" w:rsidP="009E468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lastRenderedPageBreak/>
        <w:t>Each unit covers a new set of vocabulary words pertaining to a particular theme. Vocabulary is first introduced in context through an interpretive listening or reading activity. Students then focus on selected words and work through several activities to learn the meaning of each word. Finally, students are presented with the complete passage again where they are then asked interpretive questions verifying their understanding of the passage. A printable vocabulary list is also provided.</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Grammar Concept</w:t>
      </w:r>
    </w:p>
    <w:p w:rsidR="009E468A" w:rsidRPr="009E468A" w:rsidRDefault="009E468A" w:rsidP="009E468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Each unit introduces a new grammar pattern. The concept is first introduced in a contextualized situation and then presented in a multimedia grammar animation. The concept is then further practiced in several interactive activities throughout the unit. A printable explanation of the pattern is also provided.</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Presentation of Culture through Culture Videos</w:t>
      </w:r>
    </w:p>
    <w:p w:rsidR="009E468A" w:rsidRPr="009E468A" w:rsidRDefault="009E468A" w:rsidP="009E468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In each unit students learn about various cultural aspects (e.g. practices, products, and perspectives) of a Spanish-speaking country through short video presentations. These videos are presented in Spanish.</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Speaking and Writing</w:t>
      </w:r>
    </w:p>
    <w:p w:rsidR="009E468A" w:rsidRPr="009E468A" w:rsidRDefault="009E468A" w:rsidP="009E468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Students complete speaking and writing activities in each unit. These activities give students a chance to become more familiar with the speaking and writing patterns of Spanish by applying them in communicative situations.</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Assessments</w:t>
      </w:r>
    </w:p>
    <w:p w:rsidR="009E468A" w:rsidRPr="009E468A" w:rsidRDefault="009E468A" w:rsidP="009E468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Listening and reading comprehension quizzes verify that students comprehend the main ideas and/or significant details of target language passages or conversations.</w:t>
      </w:r>
    </w:p>
    <w:p w:rsidR="009E468A" w:rsidRPr="009E468A" w:rsidRDefault="009E468A" w:rsidP="009E468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Culture comprehension quizzes verify that students have understood important concepts presented in the culture presentations.</w:t>
      </w:r>
    </w:p>
    <w:p w:rsidR="009E468A" w:rsidRPr="009E468A" w:rsidRDefault="009E468A" w:rsidP="009E468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Unit tests assess students' mastery of the vocabulary words and grammar concepts presented that unit. Each unit test also includes reading and listening comprehension questions and an oral or written assessment.</w:t>
      </w:r>
    </w:p>
    <w:p w:rsidR="009E468A" w:rsidRPr="009E468A" w:rsidRDefault="009E468A" w:rsidP="009E468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Midterm and Semester Exams are comprehensive in nature. Not only do they assess students' knowledge of the language, but they also assess students' ability to produce the language in a communicative way. Midterms and Semester Exams include both oral and written assessments.</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"Life-long Learner" Assignments</w:t>
      </w:r>
    </w:p>
    <w:p w:rsidR="009E468A" w:rsidRPr="009E468A" w:rsidRDefault="009E468A" w:rsidP="009E468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Each semester students are required to create a plan for incorporating Spanish into their daily lives. They accomplish this by outlining the long-term benefits of learning Spanish, by making goals for what they want to accomplish with their mastery of the language, and by creating a plan for accomplishing their goals.</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lastRenderedPageBreak/>
        <w:t>"Explore" Activities</w:t>
      </w:r>
    </w:p>
    <w:p w:rsidR="009E468A" w:rsidRPr="009E468A" w:rsidRDefault="009E468A" w:rsidP="009E468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Students are provided a link to an article or audio source on the Internet where they can begin to explore the unit's topic. They are then asked to provide their opinions about the information presented to them.</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Discussion Board Activities</w:t>
      </w:r>
    </w:p>
    <w:p w:rsidR="009E468A" w:rsidRPr="009E468A" w:rsidRDefault="009E468A" w:rsidP="009E468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There are two discussion board activities in each semester. These activities provide opportunities for students to interact with other students and practice their language.</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Journal</w:t>
      </w:r>
    </w:p>
    <w:p w:rsidR="009E468A" w:rsidRPr="009E468A" w:rsidRDefault="009E468A" w:rsidP="009E468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Journal assignments allow students to make cultural comparisons, reinforce new vocabulary and grammar patterns, and practice communicating in the language. Many of the journal assignments have the students first interacting with authentic language sources from the Internet before they write or speak about the prompt provided in the assignment.</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Pronunciation</w:t>
      </w:r>
    </w:p>
    <w:p w:rsidR="009E468A" w:rsidRPr="009E468A" w:rsidRDefault="009E468A" w:rsidP="009E468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Pronunciation lessons are presented in short animation videos. These videos focus on the unique sounds of the language. Follow-up activities throughout the unit provide additional practices for students to improve their pronunciation skills.</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Interpretive Communication Activities</w:t>
      </w:r>
    </w:p>
    <w:p w:rsidR="009E468A" w:rsidRPr="009E468A" w:rsidRDefault="009E468A" w:rsidP="009E468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In each unit students are presented with both print and audio sources to practice the interpretive mode of communication. Subsequent quizzes assess students' understanding of these passages. These activities are in preparation for those found on the AP test.</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Interpersonal Communication Activities</w:t>
      </w:r>
    </w:p>
    <w:p w:rsidR="009E468A" w:rsidRPr="009E468A" w:rsidRDefault="009E468A" w:rsidP="009E468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In each unit students work through activities which allow them to practice their interpersonal communication skills in both speaking and writing. These activities are in preparation for those found on the AP test.</w:t>
      </w:r>
    </w:p>
    <w:p w:rsidR="009E468A" w:rsidRPr="009E468A" w:rsidRDefault="009E468A" w:rsidP="009E468A">
      <w:pPr>
        <w:spacing w:before="100" w:beforeAutospacing="1" w:after="100" w:afterAutospacing="1" w:line="240" w:lineRule="auto"/>
        <w:outlineLvl w:val="2"/>
        <w:rPr>
          <w:rFonts w:ascii="Times New Roman" w:eastAsia="Times New Roman" w:hAnsi="Times New Roman" w:cs="Times New Roman"/>
          <w:b/>
          <w:bCs/>
          <w:sz w:val="27"/>
          <w:szCs w:val="27"/>
        </w:rPr>
      </w:pPr>
      <w:r w:rsidRPr="009E468A">
        <w:rPr>
          <w:rFonts w:ascii="Times New Roman" w:eastAsia="Times New Roman" w:hAnsi="Times New Roman" w:cs="Times New Roman"/>
          <w:b/>
          <w:bCs/>
          <w:sz w:val="27"/>
          <w:szCs w:val="27"/>
        </w:rPr>
        <w:t>Presentational Communication Activities</w:t>
      </w:r>
    </w:p>
    <w:p w:rsidR="009E468A" w:rsidRPr="009E468A" w:rsidRDefault="009E468A" w:rsidP="009E468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9E468A">
        <w:rPr>
          <w:rFonts w:ascii="Times New Roman" w:eastAsia="Times New Roman" w:hAnsi="Times New Roman" w:cs="Times New Roman"/>
          <w:sz w:val="24"/>
          <w:szCs w:val="24"/>
        </w:rPr>
        <w:t>In each unit students are presented print and audio sources from which they must synthesize information from both sources to answer specific questions. Students are asked to submit both speaking presentations and formal written essays. These activities are in preparation for those found on the AP test.</w:t>
      </w:r>
    </w:p>
    <w:p w:rsidR="009F5536" w:rsidRPr="009F5536" w:rsidRDefault="009F5536" w:rsidP="009E468A">
      <w:pPr>
        <w:pStyle w:val="Heading3"/>
        <w:rPr>
          <w:sz w:val="24"/>
          <w:szCs w:val="24"/>
        </w:rPr>
      </w:pP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b/>
          <w:bCs/>
          <w:color w:val="000000"/>
          <w:sz w:val="24"/>
          <w:szCs w:val="24"/>
          <w:u w:val="single"/>
          <w:shd w:val="clear" w:color="auto" w:fill="FFFF00"/>
        </w:rPr>
      </w:pPr>
      <w:r w:rsidRPr="00A60576">
        <w:rPr>
          <w:rFonts w:ascii="Times New Roman" w:eastAsia="Times New Roman" w:hAnsi="Times New Roman" w:cs="Times New Roman"/>
          <w:b/>
          <w:bCs/>
          <w:color w:val="000000"/>
          <w:sz w:val="24"/>
          <w:szCs w:val="24"/>
          <w:u w:val="single"/>
          <w:shd w:val="clear" w:color="auto" w:fill="FFFF00"/>
        </w:rPr>
        <w:t>Required Texts and / or educational materials</w:t>
      </w:r>
      <w:r w:rsidR="005D0813">
        <w:rPr>
          <w:rFonts w:ascii="Times New Roman" w:eastAsia="Times New Roman" w:hAnsi="Times New Roman" w:cs="Times New Roman"/>
          <w:b/>
          <w:bCs/>
          <w:color w:val="000000"/>
          <w:sz w:val="24"/>
          <w:szCs w:val="24"/>
          <w:u w:val="single"/>
          <w:shd w:val="clear" w:color="auto" w:fill="FFFF00"/>
        </w:rPr>
        <w:t xml:space="preserve"> – </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5D0813" w:rsidRPr="00A60576"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online</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Minimum Technical Requirements</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i/>
          <w:iCs/>
          <w:color w:val="000000"/>
          <w:shd w:val="clear" w:color="auto" w:fill="FFFFFF"/>
        </w:rPr>
        <w:t xml:space="preserve">Chromebooks, Android powered phones and tablets, and iOS devices are not supported and </w:t>
      </w:r>
      <w:r w:rsidRPr="00A60576">
        <w:rPr>
          <w:rFonts w:ascii="Times New Roman" w:eastAsia="Times New Roman" w:hAnsi="Times New Roman" w:cs="Times New Roman"/>
          <w:b/>
          <w:bCs/>
          <w:i/>
          <w:iCs/>
          <w:color w:val="000000"/>
          <w:sz w:val="24"/>
          <w:szCs w:val="24"/>
        </w:rPr>
        <w:t> cannot run all necessary programs at MNVA</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K12 Computer Technical Requirements</w:t>
      </w:r>
      <w:r w:rsidRPr="00A60576">
        <w:rPr>
          <w:rFonts w:ascii="Times New Roman" w:eastAsia="Times New Roman" w:hAnsi="Times New Roman" w:cs="Times New Roman"/>
          <w:color w:val="000000"/>
          <w:sz w:val="24"/>
          <w:szCs w:val="24"/>
        </w:rPr>
        <w:br/>
        <w:t>Sep 7, 2017•Customer Care and Technical Support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SUPPORT INFORMATION</w:t>
      </w:r>
      <w:r w:rsidRPr="00A60576">
        <w:rPr>
          <w:rFonts w:ascii="Times New Roman" w:eastAsia="Times New Roman" w:hAnsi="Times New Roman" w:cs="Times New Roman"/>
          <w:color w:val="000000"/>
          <w:sz w:val="24"/>
          <w:szCs w:val="24"/>
        </w:rPr>
        <w:br/>
        <w:t>To use K12's program, you'll need a computer with an Internet connection and free software programs, which you can download from the Internet.</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Hardware and Browsers Minimum Recommendations</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Windows OS</w:t>
      </w:r>
      <w:r w:rsidRPr="00A60576">
        <w:rPr>
          <w:rFonts w:ascii="Times New Roman" w:eastAsia="Times New Roman" w:hAnsi="Times New Roman" w:cs="Times New Roman"/>
          <w:color w:val="000000"/>
          <w:sz w:val="24"/>
          <w:szCs w:val="24"/>
        </w:rPr>
        <w:br/>
        <w:t xml:space="preserve">The minimum hardware recommendations to use the program are as follows: </w:t>
      </w:r>
      <w:r w:rsidRPr="00A60576">
        <w:rPr>
          <w:rFonts w:ascii="Times New Roman" w:eastAsia="Times New Roman" w:hAnsi="Times New Roman" w:cs="Times New Roman"/>
          <w:color w:val="000000"/>
          <w:sz w:val="24"/>
          <w:szCs w:val="24"/>
        </w:rPr>
        <w:br/>
        <w:t xml:space="preserve">CPU: Intel 1.0 GHz or faster processor (or equivalent) </w:t>
      </w:r>
      <w:r w:rsidRPr="00A60576">
        <w:rPr>
          <w:rFonts w:ascii="Times New Roman" w:eastAsia="Times New Roman" w:hAnsi="Times New Roman" w:cs="Times New Roman"/>
          <w:color w:val="000000"/>
          <w:sz w:val="24"/>
          <w:szCs w:val="24"/>
        </w:rPr>
        <w:br/>
        <w:t>Browser: Microsoft Internet Explorer 9.0 or higher, Mozilla Firefox 35.0 versions or higher, Chrome 40.0 or higher.</w:t>
      </w:r>
      <w:r w:rsidRPr="00A60576">
        <w:rPr>
          <w:rFonts w:ascii="Times New Roman" w:eastAsia="Times New Roman" w:hAnsi="Times New Roman" w:cs="Times New Roman"/>
          <w:color w:val="000000"/>
          <w:sz w:val="24"/>
          <w:szCs w:val="24"/>
        </w:rPr>
        <w:br/>
        <w:t>RAM: 1GB of RAM</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i/>
          <w:iCs/>
          <w:color w:val="000000"/>
          <w:sz w:val="24"/>
          <w:szCs w:val="24"/>
        </w:rPr>
        <w:t>K12 presently supports the Windows 7 Operating System. The online school should also function with Windows 8 and Windows 10. Windows Vista and Windows XP OS’s are no longer supported by Microsoft and no longer compatible with doing work on the online school.</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Mac OS</w:t>
      </w:r>
      <w:r w:rsidRPr="00A60576">
        <w:rPr>
          <w:rFonts w:ascii="Times New Roman" w:eastAsia="Times New Roman" w:hAnsi="Times New Roman" w:cs="Times New Roman"/>
          <w:color w:val="000000"/>
          <w:sz w:val="24"/>
          <w:szCs w:val="24"/>
        </w:rPr>
        <w:br/>
        <w:t>CPU: PowerPC G4 1 GHz or faster processor; Intel Core Duo 1.83 GHz or faster processor</w:t>
      </w:r>
      <w:r w:rsidRPr="00A60576">
        <w:rPr>
          <w:rFonts w:ascii="Times New Roman" w:eastAsia="Times New Roman" w:hAnsi="Times New Roman" w:cs="Times New Roman"/>
          <w:color w:val="000000"/>
          <w:sz w:val="24"/>
          <w:szCs w:val="24"/>
        </w:rPr>
        <w:br/>
        <w:t>RAM: 1GB of RAM</w:t>
      </w:r>
      <w:r w:rsidRPr="00A60576">
        <w:rPr>
          <w:rFonts w:ascii="Times New Roman" w:eastAsia="Times New Roman" w:hAnsi="Times New Roman" w:cs="Times New Roman"/>
          <w:color w:val="000000"/>
          <w:sz w:val="24"/>
          <w:szCs w:val="24"/>
        </w:rPr>
        <w:br/>
        <w:t xml:space="preserve">Browser: Microsoft Internet Explorer 9.0 or higher, Mozilla Firefox 35.0 versions or higher, </w:t>
      </w:r>
      <w:r w:rsidRPr="00A60576">
        <w:rPr>
          <w:rFonts w:ascii="Times New Roman" w:eastAsia="Times New Roman" w:hAnsi="Times New Roman" w:cs="Times New Roman"/>
          <w:color w:val="000000"/>
          <w:sz w:val="24"/>
          <w:szCs w:val="24"/>
        </w:rPr>
        <w:lastRenderedPageBreak/>
        <w:t>Chrome 40.0 or higher.</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Using  Mobile Devices with the Online School</w:t>
      </w:r>
      <w:r w:rsidRPr="00A60576">
        <w:rPr>
          <w:rFonts w:ascii="Times New Roman" w:eastAsia="Times New Roman" w:hAnsi="Times New Roman" w:cs="Times New Roman"/>
          <w:color w:val="000000"/>
          <w:sz w:val="24"/>
          <w:szCs w:val="24"/>
        </w:rPr>
        <w:br/>
        <w:t>Unfortunately, many portable do not support the software products required to run the Online School. These devices may include (but not limited to): Chromebooks, iPads, iPhones, iPods, Kindles, eReaders, and the newer Android phone. See iPhones, iPods, iPads, Smart Phones and Mobile Apps to learn about K12 Apps for smart phones and other mobile devices.</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Software</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The free software below is for both a Windows or Mac computer unless noted:</w:t>
      </w:r>
      <w:r w:rsidRPr="00A60576">
        <w:rPr>
          <w:rFonts w:ascii="Times New Roman" w:eastAsia="Times New Roman" w:hAnsi="Times New Roman" w:cs="Times New Roman"/>
          <w:color w:val="000000"/>
          <w:sz w:val="24"/>
          <w:szCs w:val="24"/>
        </w:rPr>
        <w:br/>
        <w:t>Adobe Flash Player 16 or higher (click here)</w:t>
      </w:r>
      <w:r w:rsidRPr="00A60576">
        <w:rPr>
          <w:rFonts w:ascii="Times New Roman" w:eastAsia="Times New Roman" w:hAnsi="Times New Roman" w:cs="Times New Roman"/>
          <w:color w:val="000000"/>
          <w:sz w:val="24"/>
          <w:szCs w:val="24"/>
        </w:rPr>
        <w:br/>
        <w:t>Java Runtime Environment SE7 or higher (click here)</w:t>
      </w:r>
      <w:r w:rsidRPr="00A60576">
        <w:rPr>
          <w:rFonts w:ascii="Times New Roman" w:eastAsia="Times New Roman" w:hAnsi="Times New Roman" w:cs="Times New Roman"/>
          <w:color w:val="000000"/>
          <w:sz w:val="24"/>
          <w:szCs w:val="24"/>
        </w:rPr>
        <w:br/>
        <w:t>Mozilla Firefox 35.0 versions or higher* (click here)</w:t>
      </w:r>
      <w:r w:rsidRPr="00A60576">
        <w:rPr>
          <w:rFonts w:ascii="Times New Roman" w:eastAsia="Times New Roman" w:hAnsi="Times New Roman" w:cs="Times New Roman"/>
          <w:color w:val="000000"/>
          <w:sz w:val="24"/>
          <w:szCs w:val="24"/>
        </w:rPr>
        <w:br/>
        <w:t>Internet Explorer 9.0 or higher (Windows only) (click here)</w:t>
      </w:r>
      <w:r w:rsidRPr="00A60576">
        <w:rPr>
          <w:rFonts w:ascii="Times New Roman" w:eastAsia="Times New Roman" w:hAnsi="Times New Roman" w:cs="Times New Roman"/>
          <w:color w:val="000000"/>
          <w:sz w:val="24"/>
          <w:szCs w:val="24"/>
        </w:rPr>
        <w:br/>
        <w:t>Adobe Reader 8 or later (click here)</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Internet Connections</w:t>
      </w:r>
      <w:r w:rsidRPr="00A60576">
        <w:rPr>
          <w:rFonts w:ascii="Times New Roman" w:eastAsia="Times New Roman" w:hAnsi="Times New Roman" w:cs="Times New Roman"/>
          <w:color w:val="000000"/>
          <w:sz w:val="24"/>
          <w:szCs w:val="24"/>
        </w:rPr>
        <w:br/>
        <w:t>It is highly recommended that a broadband connection be used instead of dial up. Please note the following if you are using a dial-up connection:</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i/>
          <w:iCs/>
          <w:color w:val="000000"/>
          <w:sz w:val="24"/>
          <w:szCs w:val="24"/>
        </w:rPr>
        <w:t>ALL web acceleration software must be disabled for the school to work properly.</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If you are using NetZero, the 3G or Hi-Speed version of the NetZero software is not able to be used consistently with the Online School. The basic version of the NetZero Software should installed.</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If you are using AOL you must minimize AOL after Connecting and use an approved browser</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If you are using MSN, you cannot use MSN Explorer consistently</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You MUST meet the minimum speed of 56kbps</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Gigabyte Usage</w:t>
      </w:r>
      <w:r w:rsidRPr="00A60576">
        <w:rPr>
          <w:rFonts w:ascii="Times New Roman" w:eastAsia="Times New Roman" w:hAnsi="Times New Roman" w:cs="Times New Roman"/>
          <w:color w:val="000000"/>
          <w:sz w:val="24"/>
          <w:szCs w:val="24"/>
        </w:rPr>
        <w:br/>
        <w:t>The amount of data transferred over your Internet connection each month depends on the student's enrolled course(s). We are not able to provide this information. Please contact your ISP provider if they have concerns.</w:t>
      </w:r>
      <w:r w:rsidRPr="00A60576">
        <w:rPr>
          <w:rFonts w:ascii="Times New Roman" w:eastAsia="Times New Roman" w:hAnsi="Times New Roman" w:cs="Times New Roman"/>
          <w:color w:val="000000"/>
          <w:sz w:val="24"/>
          <w:szCs w:val="24"/>
        </w:rPr>
        <w:br/>
        <w:t xml:space="preserve"> </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b/>
          <w:bCs/>
          <w:color w:val="000000"/>
          <w:sz w:val="24"/>
          <w:szCs w:val="24"/>
        </w:rPr>
        <w:t>Additional Concerns</w:t>
      </w:r>
      <w:r w:rsidRPr="00A60576">
        <w:rPr>
          <w:rFonts w:ascii="Times New Roman" w:eastAsia="Times New Roman" w:hAnsi="Times New Roman" w:cs="Times New Roman"/>
          <w:color w:val="000000"/>
          <w:sz w:val="24"/>
          <w:szCs w:val="24"/>
        </w:rPr>
        <w:br/>
        <w:t>Pop-up Blockers can affect your ability to access the Online School</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Internet Security Products, such as Norton, can inhibit your online experience</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Software firewalls installed on your PC often will cause accessibility problems</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lastRenderedPageBreak/>
        <w:t>Firewalls must have the following ports open to both TCP and UDP traffic to allow access to the OLS: 80, 8080 and 443</w:t>
      </w:r>
      <w:r w:rsidRPr="00A60576">
        <w:rPr>
          <w:rFonts w:ascii="Times New Roman" w:eastAsia="Times New Roman" w:hAnsi="Times New Roman" w:cs="Times New Roman"/>
          <w:color w:val="000000"/>
          <w:sz w:val="24"/>
          <w:szCs w:val="24"/>
        </w:rPr>
        <w:br/>
      </w:r>
      <w:r w:rsidRPr="00A60576">
        <w:rPr>
          <w:rFonts w:ascii="Times New Roman" w:eastAsia="Times New Roman" w:hAnsi="Times New Roman" w:cs="Times New Roman"/>
          <w:color w:val="000000"/>
          <w:sz w:val="24"/>
          <w:szCs w:val="24"/>
        </w:rPr>
        <w:br/>
        <w:t>Touchscreens and Wacom tablets can interfere with accessing links in the Online School -- please see the manufacturer's support site for instructions on how to configure these devices to work consistently with Flash Player</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6"/>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Default="00A60576" w:rsidP="00A60576">
            <w:pPr>
              <w:spacing w:after="0" w:line="240" w:lineRule="auto"/>
              <w:rPr>
                <w:rFonts w:ascii="Times New Roman" w:eastAsia="Times New Roman" w:hAnsi="Times New Roman" w:cs="Times New Roman"/>
                <w:b/>
                <w:bCs/>
                <w:color w:val="000000"/>
                <w:sz w:val="24"/>
                <w:szCs w:val="24"/>
                <w:u w:val="single"/>
                <w:shd w:val="clear" w:color="auto" w:fill="FFFF00"/>
              </w:rPr>
            </w:pPr>
            <w:r w:rsidRPr="00A60576">
              <w:rPr>
                <w:rFonts w:ascii="Times New Roman" w:eastAsia="Times New Roman" w:hAnsi="Times New Roman" w:cs="Times New Roman"/>
                <w:b/>
                <w:bCs/>
                <w:color w:val="000000"/>
                <w:sz w:val="24"/>
                <w:szCs w:val="24"/>
                <w:u w:val="single"/>
                <w:shd w:val="clear" w:color="auto" w:fill="FFFF00"/>
              </w:rPr>
              <w:t>Final Exam (Date, Time and Location)</w:t>
            </w:r>
          </w:p>
          <w:p w:rsidR="005D0813" w:rsidRDefault="005D0813" w:rsidP="00A60576">
            <w:pPr>
              <w:spacing w:after="0" w:line="240" w:lineRule="auto"/>
              <w:rPr>
                <w:rFonts w:ascii="Times New Roman" w:eastAsia="Times New Roman" w:hAnsi="Times New Roman" w:cs="Times New Roman"/>
                <w:sz w:val="24"/>
                <w:szCs w:val="24"/>
              </w:rPr>
            </w:pPr>
          </w:p>
          <w:p w:rsidR="005D0813" w:rsidRPr="00A60576" w:rsidRDefault="005D0813" w:rsidP="00A6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work is due by January 18</w:t>
            </w:r>
            <w:r w:rsidRPr="005D08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3:00. </w:t>
            </w:r>
          </w:p>
          <w:p w:rsidR="00A60576" w:rsidRPr="00A60576" w:rsidRDefault="00A60576" w:rsidP="00A60576">
            <w:pPr>
              <w:spacing w:after="240" w:line="240" w:lineRule="auto"/>
              <w:rPr>
                <w:rFonts w:ascii="Times New Roman" w:eastAsia="Times New Roman" w:hAnsi="Times New Roman" w:cs="Times New Roman"/>
                <w:sz w:val="24"/>
                <w:szCs w:val="24"/>
              </w:rPr>
            </w:pPr>
          </w:p>
        </w:tc>
      </w:tr>
    </w:tbl>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p>
    <w:p w:rsidR="00A60576" w:rsidRDefault="00A60576"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color w:val="FF0000"/>
          <w:sz w:val="24"/>
          <w:szCs w:val="24"/>
          <w:shd w:val="clear" w:color="auto" w:fill="FFFF00"/>
        </w:rPr>
      </w:pPr>
      <w:r w:rsidRPr="00A60576">
        <w:rPr>
          <w:rFonts w:ascii="Times New Roman" w:eastAsia="Times New Roman" w:hAnsi="Times New Roman" w:cs="Times New Roman"/>
          <w:b/>
          <w:bCs/>
          <w:color w:val="000000"/>
          <w:sz w:val="24"/>
          <w:szCs w:val="24"/>
          <w:u w:val="single"/>
          <w:shd w:val="clear" w:color="auto" w:fill="FFFF00"/>
        </w:rPr>
        <w:t xml:space="preserve">Extra Credit Option (If available) </w:t>
      </w:r>
      <w:r w:rsidRPr="00A60576">
        <w:rPr>
          <w:rFonts w:ascii="Times New Roman" w:eastAsia="Times New Roman" w:hAnsi="Times New Roman" w:cs="Times New Roman"/>
          <w:color w:val="FF0000"/>
          <w:sz w:val="24"/>
          <w:szCs w:val="24"/>
          <w:shd w:val="clear" w:color="auto" w:fill="FFFF00"/>
        </w:rPr>
        <w:t>– Please explain your extra credit policy or list that no extra credit is available for your course.</w:t>
      </w:r>
    </w:p>
    <w:p w:rsidR="005D0813"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p>
    <w:p w:rsidR="005D0813" w:rsidRPr="00A60576" w:rsidRDefault="005D0813" w:rsidP="00A60576">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credit will be offered on a weekly basis.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Assessment of Student Work</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0"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rPr>
        <w:t>Grading</w:t>
      </w:r>
    </w:p>
    <w:p w:rsidR="00A60576" w:rsidRPr="00A60576" w:rsidRDefault="00A60576" w:rsidP="00A60576">
      <w:pPr>
        <w:pBdr>
          <w:left w:val="single" w:sz="4" w:space="0"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During online courses, students will receive grades for homework assignments, quizzes, tests, projects, participation and other activities. </w:t>
      </w:r>
      <w:r w:rsidRPr="00A60576">
        <w:rPr>
          <w:rFonts w:ascii="Times New Roman" w:eastAsia="Times New Roman" w:hAnsi="Times New Roman" w:cs="Times New Roman"/>
          <w:b/>
          <w:bCs/>
          <w:color w:val="000000"/>
          <w:sz w:val="24"/>
          <w:szCs w:val="24"/>
        </w:rPr>
        <w:t>Students will be able to see their grades at any time by going to their grade books.</w:t>
      </w:r>
      <w:r w:rsidRPr="00A60576">
        <w:rPr>
          <w:rFonts w:ascii="Times New Roman" w:eastAsia="Times New Roman" w:hAnsi="Times New Roman" w:cs="Times New Roman"/>
          <w:color w:val="000000"/>
          <w:sz w:val="24"/>
          <w:szCs w:val="24"/>
        </w:rPr>
        <w:t xml:space="preserve"> If students have questions about grading procedures, they should contact their instructors. </w:t>
      </w:r>
      <w:r w:rsidRPr="00A60576">
        <w:rPr>
          <w:rFonts w:ascii="Times New Roman" w:eastAsia="Times New Roman" w:hAnsi="Times New Roman" w:cs="Times New Roman"/>
          <w:b/>
          <w:bCs/>
          <w:i/>
          <w:iCs/>
          <w:color w:val="000000"/>
          <w:sz w:val="24"/>
          <w:szCs w:val="24"/>
        </w:rPr>
        <w:t>Students are required to save their work throughout the semester.</w:t>
      </w:r>
      <w:r w:rsidRPr="00A60576">
        <w:rPr>
          <w:rFonts w:ascii="Times New Roman" w:eastAsia="Times New Roman" w:hAnsi="Times New Roman" w:cs="Times New Roman"/>
          <w:color w:val="000000"/>
          <w:sz w:val="24"/>
          <w:szCs w:val="24"/>
        </w:rPr>
        <w:t xml:space="preserve"> By saving their work, students will be able to retrieve any assignments in question and review them with their teachers in the event of a dispute or question over a grade. </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468A"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
              <w:gridCol w:w="2556"/>
              <w:gridCol w:w="1714"/>
              <w:gridCol w:w="1713"/>
              <w:gridCol w:w="1422"/>
            </w:tblGrid>
            <w:tr w:rsidR="009E468A" w:rsidTr="009E468A">
              <w:trPr>
                <w:gridAfter w:val="1"/>
                <w:tblCellSpacing w:w="15" w:type="dxa"/>
              </w:trPr>
              <w:tc>
                <w:tcPr>
                  <w:tcW w:w="1000" w:type="pct"/>
                  <w:vAlign w:val="center"/>
                  <w:hideMark/>
                </w:tcPr>
                <w:p w:rsidR="009E468A" w:rsidRDefault="009E468A" w:rsidP="009E468A">
                  <w:pPr>
                    <w:jc w:val="center"/>
                    <w:rPr>
                      <w:b/>
                      <w:bCs/>
                    </w:rPr>
                  </w:pPr>
                  <w:r>
                    <w:rPr>
                      <w:b/>
                      <w:bCs/>
                    </w:rPr>
                    <w:t>Vocabulary</w:t>
                  </w:r>
                </w:p>
              </w:tc>
              <w:tc>
                <w:tcPr>
                  <w:tcW w:w="1500" w:type="pct"/>
                  <w:vAlign w:val="center"/>
                  <w:hideMark/>
                </w:tcPr>
                <w:p w:rsidR="009E468A" w:rsidRDefault="009E468A" w:rsidP="009E468A">
                  <w:pPr>
                    <w:jc w:val="center"/>
                    <w:rPr>
                      <w:b/>
                      <w:bCs/>
                    </w:rPr>
                  </w:pPr>
                  <w:r>
                    <w:rPr>
                      <w:b/>
                      <w:bCs/>
                    </w:rPr>
                    <w:t>Grammar</w:t>
                  </w:r>
                </w:p>
              </w:tc>
              <w:tc>
                <w:tcPr>
                  <w:tcW w:w="1000" w:type="pct"/>
                  <w:vAlign w:val="center"/>
                  <w:hideMark/>
                </w:tcPr>
                <w:p w:rsidR="009E468A" w:rsidRDefault="009E468A" w:rsidP="009E468A">
                  <w:pPr>
                    <w:jc w:val="center"/>
                    <w:rPr>
                      <w:b/>
                      <w:bCs/>
                    </w:rPr>
                  </w:pPr>
                  <w:r>
                    <w:rPr>
                      <w:b/>
                      <w:bCs/>
                    </w:rPr>
                    <w:t>Culture/History</w:t>
                  </w:r>
                </w:p>
              </w:tc>
              <w:tc>
                <w:tcPr>
                  <w:tcW w:w="1000" w:type="pct"/>
                  <w:vAlign w:val="center"/>
                  <w:hideMark/>
                </w:tcPr>
                <w:p w:rsidR="009E468A" w:rsidRDefault="009E468A" w:rsidP="009E468A">
                  <w:pPr>
                    <w:jc w:val="center"/>
                    <w:rPr>
                      <w:b/>
                      <w:bCs/>
                    </w:rPr>
                  </w:pPr>
                  <w:r>
                    <w:rPr>
                      <w:b/>
                      <w:bCs/>
                    </w:rPr>
                    <w:t>Pronunciation</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lastRenderedPageBreak/>
                    <w:t>Unit 1</w:t>
                  </w:r>
                </w:p>
              </w:tc>
              <w:tc>
                <w:tcPr>
                  <w:tcW w:w="0" w:type="auto"/>
                  <w:vAlign w:val="center"/>
                  <w:hideMark/>
                </w:tcPr>
                <w:p w:rsidR="009E468A" w:rsidRDefault="009E468A" w:rsidP="009E468A">
                  <w:pPr>
                    <w:pStyle w:val="NormalWeb"/>
                  </w:pPr>
                  <w:r>
                    <w:t>Love and Friendship</w:t>
                  </w:r>
                </w:p>
              </w:tc>
              <w:tc>
                <w:tcPr>
                  <w:tcW w:w="0" w:type="auto"/>
                  <w:vAlign w:val="center"/>
                  <w:hideMark/>
                </w:tcPr>
                <w:p w:rsidR="009E468A" w:rsidRDefault="009E468A" w:rsidP="009E468A">
                  <w:pPr>
                    <w:pStyle w:val="NormalWeb"/>
                  </w:pPr>
                  <w:r>
                    <w:t>Present Indicative</w:t>
                  </w:r>
                </w:p>
                <w:p w:rsidR="009E468A" w:rsidRDefault="009E468A" w:rsidP="009E468A">
                  <w:pPr>
                    <w:pStyle w:val="NormalWeb"/>
                  </w:pPr>
                  <w:r>
                    <w:t>Present Subjunctive</w:t>
                  </w:r>
                </w:p>
              </w:tc>
              <w:tc>
                <w:tcPr>
                  <w:tcW w:w="0" w:type="auto"/>
                  <w:vAlign w:val="center"/>
                  <w:hideMark/>
                </w:tcPr>
                <w:p w:rsidR="009E468A" w:rsidRDefault="009E468A" w:rsidP="009E468A">
                  <w:pPr>
                    <w:pStyle w:val="NormalWeb"/>
                  </w:pPr>
                  <w:r>
                    <w:t>Culture Video: Dating</w:t>
                  </w:r>
                </w:p>
                <w:p w:rsidR="009E468A" w:rsidRDefault="009E468A" w:rsidP="009E468A">
                  <w:pPr>
                    <w:pStyle w:val="NormalWeb"/>
                  </w:pPr>
                  <w:r>
                    <w:t xml:space="preserve">Literature Highlight: </w:t>
                  </w:r>
                  <w:r>
                    <w:rPr>
                      <w:lang w:val="es-ES"/>
                    </w:rPr>
                    <w:t>Sor Juana Inés de la Cruz</w:t>
                  </w:r>
                </w:p>
              </w:tc>
              <w:tc>
                <w:tcPr>
                  <w:tcW w:w="0" w:type="auto"/>
                  <w:vAlign w:val="center"/>
                  <w:hideMark/>
                </w:tcPr>
                <w:p w:rsidR="009E468A" w:rsidRDefault="009E468A" w:rsidP="009E468A">
                  <w:pPr>
                    <w:pStyle w:val="NormalWeb"/>
                  </w:pPr>
                  <w:r>
                    <w:t>Vowel A</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2</w:t>
                  </w:r>
                </w:p>
              </w:tc>
              <w:tc>
                <w:tcPr>
                  <w:tcW w:w="0" w:type="auto"/>
                  <w:vAlign w:val="center"/>
                  <w:hideMark/>
                </w:tcPr>
                <w:p w:rsidR="009E468A" w:rsidRDefault="009E468A" w:rsidP="009E468A">
                  <w:pPr>
                    <w:pStyle w:val="NormalWeb"/>
                  </w:pPr>
                  <w:r>
                    <w:t>Physical Appearance  </w:t>
                  </w:r>
                </w:p>
                <w:p w:rsidR="009E468A" w:rsidRDefault="009E468A" w:rsidP="009E468A">
                  <w:pPr>
                    <w:pStyle w:val="NormalWeb"/>
                  </w:pPr>
                  <w:r>
                    <w:t>Personality</w:t>
                  </w:r>
                </w:p>
              </w:tc>
              <w:tc>
                <w:tcPr>
                  <w:tcW w:w="0" w:type="auto"/>
                  <w:vAlign w:val="center"/>
                  <w:hideMark/>
                </w:tcPr>
                <w:p w:rsidR="009E468A" w:rsidRDefault="009E468A" w:rsidP="009E468A">
                  <w:pPr>
                    <w:pStyle w:val="NormalWeb"/>
                  </w:pPr>
                  <w:r>
                    <w:t>Adjectives: Possessive Adjectives &amp; Pronouns</w:t>
                  </w:r>
                </w:p>
                <w:p w:rsidR="009E468A" w:rsidRDefault="009E468A" w:rsidP="009E468A">
                  <w:pPr>
                    <w:pStyle w:val="NormalWeb"/>
                  </w:pPr>
                  <w:r>
                    <w:rPr>
                      <w:lang w:val="es-ES"/>
                    </w:rPr>
                    <w:t>Ser &amp; Estar</w:t>
                  </w:r>
                </w:p>
              </w:tc>
              <w:tc>
                <w:tcPr>
                  <w:tcW w:w="0" w:type="auto"/>
                  <w:vAlign w:val="center"/>
                  <w:hideMark/>
                </w:tcPr>
                <w:p w:rsidR="009E468A" w:rsidRDefault="009E468A" w:rsidP="009E468A">
                  <w:pPr>
                    <w:pStyle w:val="NormalWeb"/>
                  </w:pPr>
                  <w:r>
                    <w:t>Culture Video: Traditional Clothing in Guatemala</w:t>
                  </w:r>
                </w:p>
              </w:tc>
              <w:tc>
                <w:tcPr>
                  <w:tcW w:w="0" w:type="auto"/>
                  <w:vAlign w:val="center"/>
                  <w:hideMark/>
                </w:tcPr>
                <w:p w:rsidR="009E468A" w:rsidRDefault="009E468A" w:rsidP="009E468A">
                  <w:pPr>
                    <w:pStyle w:val="NormalWeb"/>
                  </w:pPr>
                  <w:r>
                    <w:t>Vowel E</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3</w:t>
                  </w:r>
                </w:p>
              </w:tc>
              <w:tc>
                <w:tcPr>
                  <w:tcW w:w="0" w:type="auto"/>
                  <w:vAlign w:val="center"/>
                  <w:hideMark/>
                </w:tcPr>
                <w:p w:rsidR="009E468A" w:rsidRDefault="009E468A" w:rsidP="009E468A">
                  <w:pPr>
                    <w:pStyle w:val="NormalWeb"/>
                  </w:pPr>
                  <w:r>
                    <w:t>School &amp; Social Life</w:t>
                  </w:r>
                </w:p>
                <w:p w:rsidR="009E468A" w:rsidRDefault="009E468A" w:rsidP="009E468A">
                  <w:pPr>
                    <w:pStyle w:val="NormalWeb"/>
                  </w:pPr>
                  <w:r>
                    <w:t>In the Classroom</w:t>
                  </w:r>
                </w:p>
              </w:tc>
              <w:tc>
                <w:tcPr>
                  <w:tcW w:w="0" w:type="auto"/>
                  <w:vAlign w:val="center"/>
                  <w:hideMark/>
                </w:tcPr>
                <w:p w:rsidR="009E468A" w:rsidRDefault="009E468A" w:rsidP="009E468A">
                  <w:pPr>
                    <w:pStyle w:val="NormalWeb"/>
                  </w:pPr>
                  <w:r>
                    <w:t>Double Object Pronouns &amp; the Personal “a”</w:t>
                  </w:r>
                </w:p>
                <w:p w:rsidR="009E468A" w:rsidRDefault="009E468A" w:rsidP="009E468A">
                  <w:pPr>
                    <w:pStyle w:val="NormalWeb"/>
                  </w:pPr>
                  <w:r>
                    <w:t>Regular and Irregular Preterite</w:t>
                  </w:r>
                </w:p>
              </w:tc>
              <w:tc>
                <w:tcPr>
                  <w:tcW w:w="0" w:type="auto"/>
                  <w:vAlign w:val="center"/>
                  <w:hideMark/>
                </w:tcPr>
                <w:p w:rsidR="009E468A" w:rsidRDefault="009E468A" w:rsidP="009E468A">
                  <w:pPr>
                    <w:pStyle w:val="NormalWeb"/>
                  </w:pPr>
                  <w:r>
                    <w:t>Culture Video: Higher Education in Spanish Speaking Countries</w:t>
                  </w:r>
                </w:p>
                <w:p w:rsidR="009E468A" w:rsidRDefault="009E468A" w:rsidP="009E468A">
                  <w:pPr>
                    <w:pStyle w:val="NormalWeb"/>
                  </w:pPr>
                  <w:r>
                    <w:t xml:space="preserve">Literature Highlight: </w:t>
                  </w:r>
                  <w:r>
                    <w:rPr>
                      <w:lang w:val="es-ES"/>
                    </w:rPr>
                    <w:t>José Martí</w:t>
                  </w:r>
                </w:p>
              </w:tc>
              <w:tc>
                <w:tcPr>
                  <w:tcW w:w="0" w:type="auto"/>
                  <w:vAlign w:val="center"/>
                  <w:hideMark/>
                </w:tcPr>
                <w:p w:rsidR="009E468A" w:rsidRDefault="009E468A" w:rsidP="009E468A">
                  <w:pPr>
                    <w:pStyle w:val="NormalWeb"/>
                  </w:pPr>
                  <w:r>
                    <w:t>Vowel I</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4</w:t>
                  </w:r>
                </w:p>
              </w:tc>
              <w:tc>
                <w:tcPr>
                  <w:tcW w:w="0" w:type="auto"/>
                  <w:vAlign w:val="center"/>
                  <w:hideMark/>
                </w:tcPr>
                <w:p w:rsidR="009E468A" w:rsidRDefault="009E468A" w:rsidP="009E468A">
                  <w:pPr>
                    <w:pStyle w:val="NormalWeb"/>
                  </w:pPr>
                  <w:r>
                    <w:t>Extracurricular Activities</w:t>
                  </w:r>
                </w:p>
                <w:p w:rsidR="009E468A" w:rsidRDefault="009E468A" w:rsidP="009E468A">
                  <w:pPr>
                    <w:pStyle w:val="NormalWeb"/>
                  </w:pPr>
                  <w:r>
                    <w:t>Hobbies</w:t>
                  </w:r>
                </w:p>
              </w:tc>
              <w:tc>
                <w:tcPr>
                  <w:tcW w:w="0" w:type="auto"/>
                  <w:vAlign w:val="center"/>
                  <w:hideMark/>
                </w:tcPr>
                <w:p w:rsidR="009E468A" w:rsidRDefault="009E468A" w:rsidP="009E468A">
                  <w:pPr>
                    <w:pStyle w:val="NormalWeb"/>
                  </w:pPr>
                  <w:r>
                    <w:t>The Imperfect</w:t>
                  </w:r>
                </w:p>
                <w:p w:rsidR="009E468A" w:rsidRDefault="009E468A" w:rsidP="009E468A">
                  <w:pPr>
                    <w:pStyle w:val="NormalWeb"/>
                  </w:pPr>
                  <w:r>
                    <w:t>Preterite vs. Imperfect</w:t>
                  </w:r>
                </w:p>
              </w:tc>
              <w:tc>
                <w:tcPr>
                  <w:tcW w:w="0" w:type="auto"/>
                  <w:vAlign w:val="center"/>
                  <w:hideMark/>
                </w:tcPr>
                <w:p w:rsidR="009E468A" w:rsidRDefault="009E468A" w:rsidP="009E468A">
                  <w:pPr>
                    <w:pStyle w:val="NormalWeb"/>
                  </w:pPr>
                  <w:r>
                    <w:t>Culture Video: Folkloric Dance</w:t>
                  </w:r>
                </w:p>
              </w:tc>
              <w:tc>
                <w:tcPr>
                  <w:tcW w:w="0" w:type="auto"/>
                  <w:vAlign w:val="center"/>
                  <w:hideMark/>
                </w:tcPr>
                <w:p w:rsidR="009E468A" w:rsidRDefault="009E468A" w:rsidP="009E468A">
                  <w:pPr>
                    <w:pStyle w:val="NormalWeb"/>
                  </w:pPr>
                  <w:r>
                    <w:t> Vowel O</w:t>
                  </w:r>
                </w:p>
              </w:tc>
            </w:tr>
            <w:tr w:rsidR="009E468A" w:rsidTr="009E468A">
              <w:trPr>
                <w:tblCellSpacing w:w="15" w:type="dxa"/>
              </w:trPr>
              <w:tc>
                <w:tcPr>
                  <w:tcW w:w="0" w:type="auto"/>
                  <w:gridSpan w:val="5"/>
                  <w:vAlign w:val="center"/>
                  <w:hideMark/>
                </w:tcPr>
                <w:p w:rsidR="009E468A" w:rsidRDefault="009E468A" w:rsidP="009E468A">
                  <w:r>
                    <w:rPr>
                      <w:b/>
                      <w:bCs/>
                    </w:rPr>
                    <w:t>Midterm Review and Test</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5</w:t>
                  </w:r>
                </w:p>
              </w:tc>
              <w:tc>
                <w:tcPr>
                  <w:tcW w:w="0" w:type="auto"/>
                  <w:vAlign w:val="center"/>
                  <w:hideMark/>
                </w:tcPr>
                <w:p w:rsidR="009E468A" w:rsidRDefault="009E468A" w:rsidP="009E468A">
                  <w:pPr>
                    <w:pStyle w:val="NormalWeb"/>
                  </w:pPr>
                  <w:r>
                    <w:t>Family Life and Family Values</w:t>
                  </w:r>
                </w:p>
                <w:p w:rsidR="009E468A" w:rsidRDefault="009E468A" w:rsidP="009E468A">
                  <w:pPr>
                    <w:pStyle w:val="NormalWeb"/>
                  </w:pPr>
                  <w:r>
                    <w:t>Chores</w:t>
                  </w:r>
                </w:p>
              </w:tc>
              <w:tc>
                <w:tcPr>
                  <w:tcW w:w="0" w:type="auto"/>
                  <w:vAlign w:val="center"/>
                  <w:hideMark/>
                </w:tcPr>
                <w:p w:rsidR="009E468A" w:rsidRDefault="009E468A" w:rsidP="009E468A">
                  <w:pPr>
                    <w:pStyle w:val="NormalWeb"/>
                  </w:pPr>
                  <w:r>
                    <w:t>Demonstrative Adjectives</w:t>
                  </w:r>
                </w:p>
                <w:p w:rsidR="009E468A" w:rsidRDefault="009E468A" w:rsidP="009E468A">
                  <w:pPr>
                    <w:pStyle w:val="NormalWeb"/>
                  </w:pPr>
                  <w:r>
                    <w:rPr>
                      <w:lang w:val="es-ES"/>
                    </w:rPr>
                    <w:t>Por &amp; Para</w:t>
                  </w:r>
                </w:p>
              </w:tc>
              <w:tc>
                <w:tcPr>
                  <w:tcW w:w="0" w:type="auto"/>
                  <w:vAlign w:val="center"/>
                  <w:hideMark/>
                </w:tcPr>
                <w:p w:rsidR="009E468A" w:rsidRDefault="009E468A" w:rsidP="009E468A">
                  <w:pPr>
                    <w:pStyle w:val="NormalWeb"/>
                  </w:pPr>
                  <w:r>
                    <w:t>Culture Video: Columbus and the Catholic King &amp; Queen</w:t>
                  </w:r>
                </w:p>
                <w:p w:rsidR="009E468A" w:rsidRDefault="009E468A" w:rsidP="009E468A">
                  <w:pPr>
                    <w:pStyle w:val="NormalWeb"/>
                  </w:pPr>
                  <w:r>
                    <w:t xml:space="preserve">History Highlight: </w:t>
                  </w:r>
                  <w:r>
                    <w:rPr>
                      <w:lang w:val="es-ES"/>
                    </w:rPr>
                    <w:t>Las Madres de Plaza de Mayo</w:t>
                  </w:r>
                </w:p>
              </w:tc>
              <w:tc>
                <w:tcPr>
                  <w:tcW w:w="0" w:type="auto"/>
                  <w:vAlign w:val="center"/>
                  <w:hideMark/>
                </w:tcPr>
                <w:p w:rsidR="009E468A" w:rsidRDefault="009E468A" w:rsidP="009E468A">
                  <w:pPr>
                    <w:pStyle w:val="NormalWeb"/>
                  </w:pPr>
                  <w:r>
                    <w:t>Vowel U</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6</w:t>
                  </w:r>
                </w:p>
              </w:tc>
              <w:tc>
                <w:tcPr>
                  <w:tcW w:w="0" w:type="auto"/>
                  <w:vAlign w:val="center"/>
                  <w:hideMark/>
                </w:tcPr>
                <w:p w:rsidR="009E468A" w:rsidRDefault="009E468A" w:rsidP="009E468A">
                  <w:pPr>
                    <w:pStyle w:val="NormalWeb"/>
                  </w:pPr>
                  <w:r>
                    <w:t>The Importance of Food in Society</w:t>
                  </w:r>
                </w:p>
                <w:p w:rsidR="009E468A" w:rsidRDefault="009E468A" w:rsidP="009E468A">
                  <w:pPr>
                    <w:pStyle w:val="NormalWeb"/>
                  </w:pPr>
                  <w:r>
                    <w:t>The Kitchen</w:t>
                  </w:r>
                </w:p>
              </w:tc>
              <w:tc>
                <w:tcPr>
                  <w:tcW w:w="0" w:type="auto"/>
                  <w:vAlign w:val="center"/>
                  <w:hideMark/>
                </w:tcPr>
                <w:p w:rsidR="009E468A" w:rsidRDefault="009E468A" w:rsidP="009E468A">
                  <w:pPr>
                    <w:pStyle w:val="NormalWeb"/>
                  </w:pPr>
                  <w:r>
                    <w:t>Reflexive Verbs</w:t>
                  </w:r>
                </w:p>
                <w:p w:rsidR="009E468A" w:rsidRDefault="009E468A" w:rsidP="009E468A">
                  <w:pPr>
                    <w:pStyle w:val="NormalWeb"/>
                  </w:pPr>
                  <w:r>
                    <w:t>Commands</w:t>
                  </w:r>
                </w:p>
              </w:tc>
              <w:tc>
                <w:tcPr>
                  <w:tcW w:w="0" w:type="auto"/>
                  <w:vAlign w:val="center"/>
                  <w:hideMark/>
                </w:tcPr>
                <w:p w:rsidR="009E468A" w:rsidRDefault="009E468A" w:rsidP="009E468A">
                  <w:pPr>
                    <w:pStyle w:val="NormalWeb"/>
                  </w:pPr>
                  <w:r>
                    <w:t xml:space="preserve">Culture Video: Mexican Tortillas and </w:t>
                  </w:r>
                  <w:r>
                    <w:rPr>
                      <w:i/>
                      <w:iCs/>
                      <w:lang w:val="es-ES"/>
                    </w:rPr>
                    <w:t>tortillerías</w:t>
                  </w:r>
                </w:p>
              </w:tc>
              <w:tc>
                <w:tcPr>
                  <w:tcW w:w="0" w:type="auto"/>
                  <w:vAlign w:val="center"/>
                  <w:hideMark/>
                </w:tcPr>
                <w:p w:rsidR="009E468A" w:rsidRDefault="009E468A" w:rsidP="009E468A">
                  <w:pPr>
                    <w:pStyle w:val="NormalWeb"/>
                  </w:pPr>
                  <w:r>
                    <w:t xml:space="preserve">Letter Combinations </w:t>
                  </w:r>
                  <w:r>
                    <w:rPr>
                      <w:lang w:val="es-ES"/>
                    </w:rPr>
                    <w:t>“ia” &amp; “ai”</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7</w:t>
                  </w:r>
                </w:p>
              </w:tc>
              <w:tc>
                <w:tcPr>
                  <w:tcW w:w="0" w:type="auto"/>
                  <w:vAlign w:val="center"/>
                  <w:hideMark/>
                </w:tcPr>
                <w:p w:rsidR="009E468A" w:rsidRDefault="009E468A" w:rsidP="009E468A">
                  <w:pPr>
                    <w:pStyle w:val="NormalWeb"/>
                  </w:pPr>
                  <w:r>
                    <w:t>Urbanization: A Social Phenomenon</w:t>
                  </w:r>
                </w:p>
                <w:p w:rsidR="009E468A" w:rsidRDefault="009E468A" w:rsidP="009E468A">
                  <w:pPr>
                    <w:pStyle w:val="NormalWeb"/>
                  </w:pPr>
                  <w:r>
                    <w:lastRenderedPageBreak/>
                    <w:t>Public Transportation</w:t>
                  </w:r>
                </w:p>
              </w:tc>
              <w:tc>
                <w:tcPr>
                  <w:tcW w:w="0" w:type="auto"/>
                  <w:vAlign w:val="center"/>
                  <w:hideMark/>
                </w:tcPr>
                <w:p w:rsidR="009E468A" w:rsidRDefault="009E468A" w:rsidP="009E468A">
                  <w:pPr>
                    <w:pStyle w:val="NormalWeb"/>
                  </w:pPr>
                  <w:r>
                    <w:rPr>
                      <w:i/>
                      <w:iCs/>
                      <w:lang w:val="es-ES"/>
                    </w:rPr>
                    <w:lastRenderedPageBreak/>
                    <w:t>Gustar</w:t>
                  </w:r>
                  <w:r>
                    <w:t xml:space="preserve"> &amp; Similar Verbs</w:t>
                  </w:r>
                </w:p>
                <w:p w:rsidR="009E468A" w:rsidRDefault="009E468A" w:rsidP="009E468A">
                  <w:pPr>
                    <w:pStyle w:val="NormalWeb"/>
                  </w:pPr>
                  <w:r>
                    <w:rPr>
                      <w:i/>
                      <w:iCs/>
                      <w:lang w:val="es-ES"/>
                    </w:rPr>
                    <w:lastRenderedPageBreak/>
                    <w:t>Hacer</w:t>
                  </w:r>
                  <w:r>
                    <w:t xml:space="preserve"> &amp; Time Expressions</w:t>
                  </w:r>
                </w:p>
              </w:tc>
              <w:tc>
                <w:tcPr>
                  <w:tcW w:w="0" w:type="auto"/>
                  <w:vAlign w:val="center"/>
                  <w:hideMark/>
                </w:tcPr>
                <w:p w:rsidR="009E468A" w:rsidRDefault="009E468A" w:rsidP="009E468A">
                  <w:pPr>
                    <w:pStyle w:val="NormalWeb"/>
                  </w:pPr>
                  <w:r>
                    <w:lastRenderedPageBreak/>
                    <w:t>Culture Video: Bullfighting</w:t>
                  </w:r>
                </w:p>
                <w:p w:rsidR="009E468A" w:rsidRDefault="009E468A" w:rsidP="009E468A">
                  <w:pPr>
                    <w:pStyle w:val="NormalWeb"/>
                  </w:pPr>
                  <w:r>
                    <w:lastRenderedPageBreak/>
                    <w:t>History Highlight: The Falklands War</w:t>
                  </w:r>
                </w:p>
              </w:tc>
              <w:tc>
                <w:tcPr>
                  <w:tcW w:w="0" w:type="auto"/>
                  <w:vAlign w:val="center"/>
                  <w:hideMark/>
                </w:tcPr>
                <w:p w:rsidR="009E468A" w:rsidRDefault="009E468A" w:rsidP="009E468A">
                  <w:pPr>
                    <w:pStyle w:val="NormalWeb"/>
                  </w:pPr>
                  <w:r>
                    <w:lastRenderedPageBreak/>
                    <w:t xml:space="preserve">Letter Combinations </w:t>
                  </w:r>
                  <w:r>
                    <w:rPr>
                      <w:lang w:val="es-ES"/>
                    </w:rPr>
                    <w:t>“ie” &amp; “ei”</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8</w:t>
                  </w:r>
                </w:p>
                <w:p w:rsidR="009E468A" w:rsidRDefault="009E468A" w:rsidP="009E468A">
                  <w:pPr>
                    <w:pStyle w:val="NormalWeb"/>
                    <w:jc w:val="center"/>
                    <w:rPr>
                      <w:b/>
                      <w:bCs/>
                    </w:rPr>
                  </w:pPr>
                  <w:r>
                    <w:rPr>
                      <w:b/>
                      <w:bCs/>
                    </w:rPr>
                    <w:t>Project Unit</w:t>
                  </w:r>
                </w:p>
              </w:tc>
              <w:tc>
                <w:tcPr>
                  <w:tcW w:w="0" w:type="auto"/>
                  <w:vAlign w:val="center"/>
                  <w:hideMark/>
                </w:tcPr>
                <w:p w:rsidR="009E468A" w:rsidRDefault="009E468A" w:rsidP="009E468A">
                  <w:pPr>
                    <w:pStyle w:val="NormalWeb"/>
                  </w:pPr>
                  <w:r>
                    <w:t>Project: Study Abroad</w:t>
                  </w:r>
                </w:p>
              </w:tc>
              <w:tc>
                <w:tcPr>
                  <w:tcW w:w="0" w:type="auto"/>
                  <w:vAlign w:val="center"/>
                  <w:hideMark/>
                </w:tcPr>
                <w:p w:rsidR="009E468A" w:rsidRDefault="009E468A" w:rsidP="009E468A">
                  <w:pPr>
                    <w:pStyle w:val="NormalWeb"/>
                  </w:pPr>
                  <w:r>
                    <w:rPr>
                      <w:i/>
                      <w:iCs/>
                      <w:lang w:val="es-ES"/>
                    </w:rPr>
                    <w:t>Hay</w:t>
                  </w:r>
                  <w:r>
                    <w:rPr>
                      <w:lang w:val="es-ES"/>
                    </w:rPr>
                    <w:t xml:space="preserve">/ </w:t>
                  </w:r>
                  <w:r>
                    <w:rPr>
                      <w:i/>
                      <w:iCs/>
                      <w:lang w:val="es-ES"/>
                    </w:rPr>
                    <w:t>Había</w:t>
                  </w:r>
                  <w:r>
                    <w:rPr>
                      <w:lang w:val="es-ES"/>
                    </w:rPr>
                    <w:t xml:space="preserve">/ </w:t>
                  </w:r>
                  <w:r>
                    <w:rPr>
                      <w:i/>
                      <w:iCs/>
                      <w:lang w:val="es-ES"/>
                    </w:rPr>
                    <w:t>Hubo</w:t>
                  </w:r>
                </w:p>
                <w:p w:rsidR="009E468A" w:rsidRDefault="009E468A" w:rsidP="009E468A">
                  <w:pPr>
                    <w:pStyle w:val="NormalWeb"/>
                  </w:pPr>
                  <w:r>
                    <w:t>The Perfect Tense</w:t>
                  </w:r>
                </w:p>
              </w:tc>
              <w:tc>
                <w:tcPr>
                  <w:tcW w:w="0" w:type="auto"/>
                  <w:vAlign w:val="center"/>
                  <w:hideMark/>
                </w:tcPr>
                <w:p w:rsidR="009E468A" w:rsidRDefault="009E468A" w:rsidP="009E468A">
                  <w:pPr>
                    <w:pStyle w:val="NormalWeb"/>
                  </w:pPr>
                  <w:r>
                    <w:t>None</w:t>
                  </w:r>
                </w:p>
              </w:tc>
              <w:tc>
                <w:tcPr>
                  <w:tcW w:w="0" w:type="auto"/>
                  <w:vAlign w:val="center"/>
                  <w:hideMark/>
                </w:tcPr>
                <w:p w:rsidR="009E468A" w:rsidRDefault="009E468A" w:rsidP="009E468A">
                  <w:pPr>
                    <w:pStyle w:val="NormalWeb"/>
                  </w:pPr>
                  <w:r>
                    <w:t>None</w:t>
                  </w:r>
                </w:p>
              </w:tc>
            </w:tr>
            <w:tr w:rsidR="009E468A" w:rsidTr="009E468A">
              <w:trPr>
                <w:tblCellSpacing w:w="15" w:type="dxa"/>
              </w:trPr>
              <w:tc>
                <w:tcPr>
                  <w:tcW w:w="0" w:type="auto"/>
                  <w:gridSpan w:val="5"/>
                  <w:vAlign w:val="center"/>
                  <w:hideMark/>
                </w:tcPr>
                <w:p w:rsidR="009E468A" w:rsidRDefault="009E468A" w:rsidP="009E468A">
                  <w:r>
                    <w:rPr>
                      <w:b/>
                      <w:bCs/>
                    </w:rPr>
                    <w:t>Final Review and Test</w:t>
                  </w:r>
                </w:p>
              </w:tc>
            </w:tr>
          </w:tbl>
          <w:p w:rsidR="009E468A" w:rsidRDefault="009E468A" w:rsidP="009E468A">
            <w:pPr>
              <w:pStyle w:val="NormalWeb"/>
            </w:pPr>
            <w:r>
              <w:t> </w:t>
            </w:r>
          </w:p>
          <w:p w:rsidR="009E468A" w:rsidRDefault="009E468A" w:rsidP="009E468A">
            <w:pPr>
              <w:pStyle w:val="Heading3"/>
            </w:pPr>
            <w:r>
              <w:t>Semester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1821"/>
              <w:gridCol w:w="2716"/>
              <w:gridCol w:w="1821"/>
              <w:gridCol w:w="1836"/>
            </w:tblGrid>
            <w:tr w:rsidR="009E468A" w:rsidTr="009E468A">
              <w:trPr>
                <w:tblCellSpacing w:w="15" w:type="dxa"/>
              </w:trPr>
              <w:tc>
                <w:tcPr>
                  <w:tcW w:w="500" w:type="pct"/>
                  <w:vAlign w:val="center"/>
                  <w:hideMark/>
                </w:tcPr>
                <w:p w:rsidR="009E468A" w:rsidRDefault="009E468A" w:rsidP="009E468A">
                  <w:pPr>
                    <w:jc w:val="center"/>
                    <w:rPr>
                      <w:b/>
                      <w:bCs/>
                    </w:rPr>
                  </w:pPr>
                  <w:r>
                    <w:rPr>
                      <w:b/>
                      <w:bCs/>
                    </w:rPr>
                    <w:t> </w:t>
                  </w:r>
                </w:p>
              </w:tc>
              <w:tc>
                <w:tcPr>
                  <w:tcW w:w="1000" w:type="pct"/>
                  <w:vAlign w:val="center"/>
                  <w:hideMark/>
                </w:tcPr>
                <w:p w:rsidR="009E468A" w:rsidRDefault="009E468A" w:rsidP="009E468A">
                  <w:pPr>
                    <w:jc w:val="center"/>
                    <w:rPr>
                      <w:b/>
                      <w:bCs/>
                    </w:rPr>
                  </w:pPr>
                  <w:r>
                    <w:rPr>
                      <w:b/>
                      <w:bCs/>
                    </w:rPr>
                    <w:t>Vocabulary</w:t>
                  </w:r>
                </w:p>
              </w:tc>
              <w:tc>
                <w:tcPr>
                  <w:tcW w:w="1500" w:type="pct"/>
                  <w:vAlign w:val="center"/>
                  <w:hideMark/>
                </w:tcPr>
                <w:p w:rsidR="009E468A" w:rsidRDefault="009E468A" w:rsidP="009E468A">
                  <w:pPr>
                    <w:jc w:val="center"/>
                    <w:rPr>
                      <w:b/>
                      <w:bCs/>
                    </w:rPr>
                  </w:pPr>
                  <w:r>
                    <w:rPr>
                      <w:b/>
                      <w:bCs/>
                    </w:rPr>
                    <w:t>Grammar</w:t>
                  </w:r>
                </w:p>
              </w:tc>
              <w:tc>
                <w:tcPr>
                  <w:tcW w:w="1000" w:type="pct"/>
                  <w:vAlign w:val="center"/>
                  <w:hideMark/>
                </w:tcPr>
                <w:p w:rsidR="009E468A" w:rsidRDefault="009E468A" w:rsidP="009E468A">
                  <w:pPr>
                    <w:jc w:val="center"/>
                    <w:rPr>
                      <w:b/>
                      <w:bCs/>
                    </w:rPr>
                  </w:pPr>
                  <w:r>
                    <w:rPr>
                      <w:b/>
                      <w:bCs/>
                    </w:rPr>
                    <w:t>Culture/History</w:t>
                  </w:r>
                </w:p>
              </w:tc>
              <w:tc>
                <w:tcPr>
                  <w:tcW w:w="1000" w:type="pct"/>
                  <w:vAlign w:val="center"/>
                  <w:hideMark/>
                </w:tcPr>
                <w:p w:rsidR="009E468A" w:rsidRDefault="009E468A" w:rsidP="009E468A">
                  <w:pPr>
                    <w:jc w:val="center"/>
                    <w:rPr>
                      <w:b/>
                      <w:bCs/>
                    </w:rPr>
                  </w:pPr>
                  <w:r>
                    <w:rPr>
                      <w:b/>
                      <w:bCs/>
                    </w:rPr>
                    <w:t>Pronunciation</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9</w:t>
                  </w:r>
                </w:p>
              </w:tc>
              <w:tc>
                <w:tcPr>
                  <w:tcW w:w="0" w:type="auto"/>
                  <w:vAlign w:val="center"/>
                  <w:hideMark/>
                </w:tcPr>
                <w:p w:rsidR="009E468A" w:rsidRDefault="009E468A" w:rsidP="009E468A">
                  <w:pPr>
                    <w:pStyle w:val="NormalWeb"/>
                  </w:pPr>
                  <w:r>
                    <w:t>Artistic Movements</w:t>
                  </w:r>
                </w:p>
                <w:p w:rsidR="009E468A" w:rsidRDefault="009E468A" w:rsidP="009E468A">
                  <w:pPr>
                    <w:pStyle w:val="NormalWeb"/>
                  </w:pPr>
                  <w:r>
                    <w:t>The Importance of Architecture in Society</w:t>
                  </w:r>
                </w:p>
              </w:tc>
              <w:tc>
                <w:tcPr>
                  <w:tcW w:w="0" w:type="auto"/>
                  <w:vAlign w:val="center"/>
                  <w:hideMark/>
                </w:tcPr>
                <w:p w:rsidR="009E468A" w:rsidRDefault="009E468A" w:rsidP="009E468A">
                  <w:pPr>
                    <w:pStyle w:val="NormalWeb"/>
                  </w:pPr>
                  <w:r>
                    <w:t xml:space="preserve">Passive Voice </w:t>
                  </w:r>
                  <w:r>
                    <w:rPr>
                      <w:lang w:val="es-ES"/>
                    </w:rPr>
                    <w:t>(</w:t>
                  </w:r>
                  <w:r>
                    <w:rPr>
                      <w:i/>
                      <w:iCs/>
                      <w:lang w:val="es-ES"/>
                    </w:rPr>
                    <w:t>Ser</w:t>
                  </w:r>
                  <w:r>
                    <w:rPr>
                      <w:lang w:val="es-ES"/>
                    </w:rPr>
                    <w:t xml:space="preserve"> + Past Participle)</w:t>
                  </w:r>
                </w:p>
                <w:p w:rsidR="009E468A" w:rsidRDefault="009E468A" w:rsidP="009E468A">
                  <w:pPr>
                    <w:pStyle w:val="NormalWeb"/>
                  </w:pPr>
                  <w:r>
                    <w:t xml:space="preserve">Passive </w:t>
                  </w:r>
                  <w:r>
                    <w:rPr>
                      <w:i/>
                      <w:iCs/>
                      <w:lang w:val="es-ES"/>
                    </w:rPr>
                    <w:t>se</w:t>
                  </w:r>
                </w:p>
              </w:tc>
              <w:tc>
                <w:tcPr>
                  <w:tcW w:w="0" w:type="auto"/>
                  <w:vAlign w:val="center"/>
                  <w:hideMark/>
                </w:tcPr>
                <w:p w:rsidR="009E468A" w:rsidRDefault="009E468A" w:rsidP="009E468A">
                  <w:pPr>
                    <w:pStyle w:val="NormalWeb"/>
                  </w:pPr>
                  <w:r>
                    <w:t xml:space="preserve">Culture Video: </w:t>
                  </w:r>
                  <w:r>
                    <w:rPr>
                      <w:lang w:val="es-ES"/>
                    </w:rPr>
                    <w:t>La sagrada familia</w:t>
                  </w:r>
                </w:p>
                <w:p w:rsidR="009E468A" w:rsidRDefault="009E468A" w:rsidP="009E468A">
                  <w:pPr>
                    <w:pStyle w:val="NormalWeb"/>
                  </w:pPr>
                  <w:r>
                    <w:t xml:space="preserve">Literature Highlight: </w:t>
                  </w:r>
                  <w:r>
                    <w:rPr>
                      <w:lang w:val="es-ES"/>
                    </w:rPr>
                    <w:t>Gustavo Adolfo Bécquer</w:t>
                  </w:r>
                </w:p>
              </w:tc>
              <w:tc>
                <w:tcPr>
                  <w:tcW w:w="0" w:type="auto"/>
                  <w:vAlign w:val="center"/>
                  <w:hideMark/>
                </w:tcPr>
                <w:p w:rsidR="009E468A" w:rsidRDefault="009E468A" w:rsidP="009E468A">
                  <w:pPr>
                    <w:pStyle w:val="NormalWeb"/>
                  </w:pPr>
                  <w:r>
                    <w:t xml:space="preserve">Letter Combinations </w:t>
                  </w:r>
                  <w:r>
                    <w:rPr>
                      <w:lang w:val="es-ES"/>
                    </w:rPr>
                    <w:t>“ue” &amp; “eu”</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10</w:t>
                  </w:r>
                </w:p>
              </w:tc>
              <w:tc>
                <w:tcPr>
                  <w:tcW w:w="0" w:type="auto"/>
                  <w:vAlign w:val="center"/>
                  <w:hideMark/>
                </w:tcPr>
                <w:p w:rsidR="009E468A" w:rsidRDefault="009E468A" w:rsidP="009E468A">
                  <w:pPr>
                    <w:pStyle w:val="NormalWeb"/>
                  </w:pPr>
                  <w:r>
                    <w:t>Online: Computers and the Social Network</w:t>
                  </w:r>
                </w:p>
                <w:p w:rsidR="009E468A" w:rsidRDefault="009E468A" w:rsidP="009E468A">
                  <w:pPr>
                    <w:pStyle w:val="NormalWeb"/>
                  </w:pPr>
                  <w:r>
                    <w:t>Technology: A Symbol of Modern Society</w:t>
                  </w:r>
                </w:p>
              </w:tc>
              <w:tc>
                <w:tcPr>
                  <w:tcW w:w="0" w:type="auto"/>
                  <w:vAlign w:val="center"/>
                  <w:hideMark/>
                </w:tcPr>
                <w:p w:rsidR="009E468A" w:rsidRDefault="009E468A" w:rsidP="009E468A">
                  <w:pPr>
                    <w:pStyle w:val="NormalWeb"/>
                  </w:pPr>
                  <w:r>
                    <w:t>Negative &amp; Indefinite Words</w:t>
                  </w:r>
                </w:p>
                <w:p w:rsidR="009E468A" w:rsidRDefault="009E468A" w:rsidP="009E468A">
                  <w:pPr>
                    <w:pStyle w:val="NormalWeb"/>
                  </w:pPr>
                  <w:r>
                    <w:t>Prepositions &amp; Verbs with Prepositions</w:t>
                  </w:r>
                </w:p>
              </w:tc>
              <w:tc>
                <w:tcPr>
                  <w:tcW w:w="0" w:type="auto"/>
                  <w:vAlign w:val="center"/>
                  <w:hideMark/>
                </w:tcPr>
                <w:p w:rsidR="009E468A" w:rsidRDefault="009E468A" w:rsidP="009E468A">
                  <w:pPr>
                    <w:pStyle w:val="NormalWeb"/>
                  </w:pPr>
                  <w:r>
                    <w:t xml:space="preserve">Culture Video: </w:t>
                  </w:r>
                  <w:r>
                    <w:rPr>
                      <w:lang w:val="es-ES"/>
                    </w:rPr>
                    <w:t>El día de los muertos</w:t>
                  </w:r>
                </w:p>
              </w:tc>
              <w:tc>
                <w:tcPr>
                  <w:tcW w:w="0" w:type="auto"/>
                  <w:vAlign w:val="center"/>
                  <w:hideMark/>
                </w:tcPr>
                <w:p w:rsidR="009E468A" w:rsidRDefault="009E468A" w:rsidP="009E468A">
                  <w:pPr>
                    <w:pStyle w:val="NormalWeb"/>
                  </w:pPr>
                  <w:r>
                    <w:t xml:space="preserve">Letter Combinations </w:t>
                  </w:r>
                  <w:r>
                    <w:rPr>
                      <w:lang w:val="es-ES"/>
                    </w:rPr>
                    <w:t>“oi” &amp; “io”</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11</w:t>
                  </w:r>
                </w:p>
              </w:tc>
              <w:tc>
                <w:tcPr>
                  <w:tcW w:w="0" w:type="auto"/>
                  <w:vAlign w:val="center"/>
                  <w:hideMark/>
                </w:tcPr>
                <w:p w:rsidR="009E468A" w:rsidRDefault="009E468A" w:rsidP="009E468A">
                  <w:pPr>
                    <w:pStyle w:val="NormalWeb"/>
                  </w:pPr>
                  <w:r>
                    <w:t>The Press</w:t>
                  </w:r>
                </w:p>
                <w:p w:rsidR="009E468A" w:rsidRDefault="009E468A" w:rsidP="009E468A">
                  <w:pPr>
                    <w:pStyle w:val="NormalWeb"/>
                  </w:pPr>
                  <w:r>
                    <w:t>Television</w:t>
                  </w:r>
                </w:p>
              </w:tc>
              <w:tc>
                <w:tcPr>
                  <w:tcW w:w="0" w:type="auto"/>
                  <w:vAlign w:val="center"/>
                  <w:hideMark/>
                </w:tcPr>
                <w:p w:rsidR="009E468A" w:rsidRDefault="009E468A" w:rsidP="009E468A">
                  <w:pPr>
                    <w:pStyle w:val="NormalWeb"/>
                  </w:pPr>
                  <w:r>
                    <w:t>Present Subjunctive (Noun Clauses)</w:t>
                  </w:r>
                </w:p>
                <w:p w:rsidR="009E468A" w:rsidRDefault="009E468A" w:rsidP="009E468A">
                  <w:pPr>
                    <w:pStyle w:val="NormalWeb"/>
                  </w:pPr>
                  <w:r>
                    <w:t>Present Subjunctive (Adjective Clauses)</w:t>
                  </w:r>
                </w:p>
              </w:tc>
              <w:tc>
                <w:tcPr>
                  <w:tcW w:w="0" w:type="auto"/>
                  <w:vAlign w:val="center"/>
                  <w:hideMark/>
                </w:tcPr>
                <w:p w:rsidR="009E468A" w:rsidRDefault="009E468A" w:rsidP="009E468A">
                  <w:pPr>
                    <w:pStyle w:val="NormalWeb"/>
                  </w:pPr>
                  <w:r>
                    <w:t xml:space="preserve">Culture Video: </w:t>
                  </w:r>
                  <w:r>
                    <w:rPr>
                      <w:lang w:val="es-ES"/>
                    </w:rPr>
                    <w:t>Las telenovelas</w:t>
                  </w:r>
                </w:p>
                <w:p w:rsidR="009E468A" w:rsidRDefault="009E468A" w:rsidP="009E468A">
                  <w:pPr>
                    <w:pStyle w:val="NormalWeb"/>
                  </w:pPr>
                  <w:r>
                    <w:t xml:space="preserve">Literature Highlight: </w:t>
                  </w:r>
                  <w:r>
                    <w:rPr>
                      <w:lang w:val="es-ES"/>
                    </w:rPr>
                    <w:t>Garcilaso de la Vega</w:t>
                  </w:r>
                </w:p>
              </w:tc>
              <w:tc>
                <w:tcPr>
                  <w:tcW w:w="0" w:type="auto"/>
                  <w:vAlign w:val="center"/>
                  <w:hideMark/>
                </w:tcPr>
                <w:p w:rsidR="009E468A" w:rsidRDefault="009E468A" w:rsidP="009E468A">
                  <w:pPr>
                    <w:pStyle w:val="NormalWeb"/>
                  </w:pPr>
                  <w:r>
                    <w:t>Letters T &amp; D</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12</w:t>
                  </w:r>
                </w:p>
              </w:tc>
              <w:tc>
                <w:tcPr>
                  <w:tcW w:w="0" w:type="auto"/>
                  <w:vAlign w:val="center"/>
                  <w:hideMark/>
                </w:tcPr>
                <w:p w:rsidR="009E468A" w:rsidRDefault="009E468A" w:rsidP="009E468A">
                  <w:pPr>
                    <w:pStyle w:val="NormalWeb"/>
                  </w:pPr>
                  <w:r>
                    <w:t>Health</w:t>
                  </w:r>
                </w:p>
                <w:p w:rsidR="009E468A" w:rsidRDefault="009E468A" w:rsidP="009E468A">
                  <w:pPr>
                    <w:pStyle w:val="NormalWeb"/>
                  </w:pPr>
                  <w:r>
                    <w:t>Alternative Medicine vs. Traditional Medicine</w:t>
                  </w:r>
                </w:p>
              </w:tc>
              <w:tc>
                <w:tcPr>
                  <w:tcW w:w="0" w:type="auto"/>
                  <w:vAlign w:val="center"/>
                  <w:hideMark/>
                </w:tcPr>
                <w:p w:rsidR="009E468A" w:rsidRDefault="009E468A" w:rsidP="009E468A">
                  <w:pPr>
                    <w:pStyle w:val="NormalWeb"/>
                  </w:pPr>
                  <w:r>
                    <w:t>Present Subjunctive (Adverb Clauses)</w:t>
                  </w:r>
                </w:p>
                <w:p w:rsidR="009E468A" w:rsidRDefault="009E468A" w:rsidP="009E468A">
                  <w:pPr>
                    <w:pStyle w:val="NormalWeb"/>
                  </w:pPr>
                  <w:r>
                    <w:t>Review of Present Subjunctive</w:t>
                  </w:r>
                </w:p>
              </w:tc>
              <w:tc>
                <w:tcPr>
                  <w:tcW w:w="0" w:type="auto"/>
                  <w:vAlign w:val="center"/>
                  <w:hideMark/>
                </w:tcPr>
                <w:p w:rsidR="009E468A" w:rsidRDefault="009E468A" w:rsidP="009E468A">
                  <w:pPr>
                    <w:pStyle w:val="NormalWeb"/>
                  </w:pPr>
                  <w:r>
                    <w:t xml:space="preserve">Culture Video: </w:t>
                  </w:r>
                  <w:r>
                    <w:rPr>
                      <w:lang w:val="es-ES"/>
                    </w:rPr>
                    <w:t>Bachata</w:t>
                  </w:r>
                </w:p>
              </w:tc>
              <w:tc>
                <w:tcPr>
                  <w:tcW w:w="0" w:type="auto"/>
                  <w:vAlign w:val="center"/>
                  <w:hideMark/>
                </w:tcPr>
                <w:p w:rsidR="009E468A" w:rsidRDefault="009E468A" w:rsidP="009E468A">
                  <w:pPr>
                    <w:pStyle w:val="NormalWeb"/>
                  </w:pPr>
                  <w:r>
                    <w:t>None</w:t>
                  </w:r>
                </w:p>
              </w:tc>
            </w:tr>
            <w:tr w:rsidR="009E468A" w:rsidTr="009E468A">
              <w:trPr>
                <w:tblCellSpacing w:w="15" w:type="dxa"/>
              </w:trPr>
              <w:tc>
                <w:tcPr>
                  <w:tcW w:w="0" w:type="auto"/>
                  <w:gridSpan w:val="5"/>
                  <w:vAlign w:val="center"/>
                  <w:hideMark/>
                </w:tcPr>
                <w:p w:rsidR="009E468A" w:rsidRDefault="009E468A" w:rsidP="009E468A">
                  <w:r>
                    <w:rPr>
                      <w:b/>
                      <w:bCs/>
                    </w:rPr>
                    <w:lastRenderedPageBreak/>
                    <w:t>Midterm Review and Test</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13</w:t>
                  </w:r>
                </w:p>
              </w:tc>
              <w:tc>
                <w:tcPr>
                  <w:tcW w:w="0" w:type="auto"/>
                  <w:vAlign w:val="center"/>
                  <w:hideMark/>
                </w:tcPr>
                <w:p w:rsidR="009E468A" w:rsidRDefault="009E468A" w:rsidP="009E468A">
                  <w:pPr>
                    <w:pStyle w:val="NormalWeb"/>
                  </w:pPr>
                  <w:r>
                    <w:t>Preservation of Nature</w:t>
                  </w:r>
                </w:p>
                <w:p w:rsidR="009E468A" w:rsidRDefault="009E468A" w:rsidP="009E468A">
                  <w:pPr>
                    <w:pStyle w:val="NormalWeb"/>
                  </w:pPr>
                  <w:r>
                    <w:t>Pollution</w:t>
                  </w:r>
                </w:p>
              </w:tc>
              <w:tc>
                <w:tcPr>
                  <w:tcW w:w="0" w:type="auto"/>
                  <w:vAlign w:val="center"/>
                  <w:hideMark/>
                </w:tcPr>
                <w:p w:rsidR="009E468A" w:rsidRDefault="009E468A" w:rsidP="009E468A">
                  <w:pPr>
                    <w:pStyle w:val="NormalWeb"/>
                  </w:pPr>
                  <w:r>
                    <w:t>The Future Tense &amp; Future Probability</w:t>
                  </w:r>
                </w:p>
                <w:p w:rsidR="009E468A" w:rsidRDefault="009E468A" w:rsidP="009E468A">
                  <w:pPr>
                    <w:pStyle w:val="NormalWeb"/>
                  </w:pPr>
                  <w:r>
                    <w:t>The Conditional &amp; Conditional Probability</w:t>
                  </w:r>
                </w:p>
              </w:tc>
              <w:tc>
                <w:tcPr>
                  <w:tcW w:w="0" w:type="auto"/>
                  <w:vAlign w:val="center"/>
                  <w:hideMark/>
                </w:tcPr>
                <w:p w:rsidR="009E468A" w:rsidRDefault="009E468A" w:rsidP="009E468A">
                  <w:pPr>
                    <w:pStyle w:val="NormalWeb"/>
                  </w:pPr>
                  <w:r>
                    <w:t xml:space="preserve">Culture Video: </w:t>
                  </w:r>
                  <w:r>
                    <w:rPr>
                      <w:lang w:val="es-ES"/>
                    </w:rPr>
                    <w:t>El béisbol</w:t>
                  </w:r>
                </w:p>
                <w:p w:rsidR="009E468A" w:rsidRDefault="009E468A" w:rsidP="009E468A">
                  <w:pPr>
                    <w:pStyle w:val="NormalWeb"/>
                  </w:pPr>
                  <w:r>
                    <w:t xml:space="preserve">History Highlight: </w:t>
                  </w:r>
                  <w:r>
                    <w:rPr>
                      <w:lang w:val="es-ES"/>
                    </w:rPr>
                    <w:t>5 de Mayo</w:t>
                  </w:r>
                </w:p>
              </w:tc>
              <w:tc>
                <w:tcPr>
                  <w:tcW w:w="0" w:type="auto"/>
                  <w:vAlign w:val="center"/>
                  <w:hideMark/>
                </w:tcPr>
                <w:p w:rsidR="009E468A" w:rsidRDefault="009E468A" w:rsidP="009E468A">
                  <w:pPr>
                    <w:pStyle w:val="NormalWeb"/>
                  </w:pPr>
                  <w:r>
                    <w:t>The Letters R &amp; RR</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14</w:t>
                  </w:r>
                </w:p>
              </w:tc>
              <w:tc>
                <w:tcPr>
                  <w:tcW w:w="0" w:type="auto"/>
                  <w:vAlign w:val="center"/>
                  <w:hideMark/>
                </w:tcPr>
                <w:p w:rsidR="009E468A" w:rsidRDefault="009E468A" w:rsidP="009E468A">
                  <w:pPr>
                    <w:pStyle w:val="NormalWeb"/>
                  </w:pPr>
                  <w:r>
                    <w:t>The Educational System in Other Countries</w:t>
                  </w:r>
                </w:p>
                <w:p w:rsidR="009E468A" w:rsidRDefault="009E468A" w:rsidP="009E468A">
                  <w:pPr>
                    <w:pStyle w:val="NormalWeb"/>
                  </w:pPr>
                  <w:r>
                    <w:t>The Importance of a Second Language in the Workforce</w:t>
                  </w:r>
                </w:p>
              </w:tc>
              <w:tc>
                <w:tcPr>
                  <w:tcW w:w="0" w:type="auto"/>
                  <w:vAlign w:val="center"/>
                  <w:hideMark/>
                </w:tcPr>
                <w:p w:rsidR="009E468A" w:rsidRDefault="009E468A" w:rsidP="009E468A">
                  <w:pPr>
                    <w:pStyle w:val="NormalWeb"/>
                  </w:pPr>
                  <w:r>
                    <w:t>Introduction to Past Subjunctive (Conjugations)</w:t>
                  </w:r>
                </w:p>
                <w:p w:rsidR="009E468A" w:rsidRDefault="009E468A" w:rsidP="009E468A">
                  <w:pPr>
                    <w:pStyle w:val="NormalWeb"/>
                  </w:pPr>
                  <w:r>
                    <w:t>The Past Subjunctive (Uses)</w:t>
                  </w:r>
                </w:p>
              </w:tc>
              <w:tc>
                <w:tcPr>
                  <w:tcW w:w="0" w:type="auto"/>
                  <w:vAlign w:val="center"/>
                  <w:hideMark/>
                </w:tcPr>
                <w:p w:rsidR="009E468A" w:rsidRDefault="009E468A" w:rsidP="009E468A">
                  <w:pPr>
                    <w:pStyle w:val="NormalWeb"/>
                  </w:pPr>
                  <w:r>
                    <w:t>Culture Video: Higher Education in Hispanic Countries</w:t>
                  </w:r>
                </w:p>
              </w:tc>
              <w:tc>
                <w:tcPr>
                  <w:tcW w:w="0" w:type="auto"/>
                  <w:vAlign w:val="center"/>
                  <w:hideMark/>
                </w:tcPr>
                <w:p w:rsidR="009E468A" w:rsidRDefault="009E468A" w:rsidP="009E468A">
                  <w:pPr>
                    <w:pStyle w:val="NormalWeb"/>
                  </w:pPr>
                  <w:r>
                    <w:t>The Letter J</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15</w:t>
                  </w:r>
                </w:p>
              </w:tc>
              <w:tc>
                <w:tcPr>
                  <w:tcW w:w="0" w:type="auto"/>
                  <w:vAlign w:val="center"/>
                  <w:hideMark/>
                </w:tcPr>
                <w:p w:rsidR="009E468A" w:rsidRDefault="009E468A" w:rsidP="009E468A">
                  <w:pPr>
                    <w:pStyle w:val="NormalWeb"/>
                  </w:pPr>
                  <w:r>
                    <w:t>Immigration</w:t>
                  </w:r>
                </w:p>
                <w:p w:rsidR="009E468A" w:rsidRDefault="009E468A" w:rsidP="009E468A">
                  <w:pPr>
                    <w:pStyle w:val="NormalWeb"/>
                  </w:pPr>
                  <w:r>
                    <w:t>Social Welfare</w:t>
                  </w:r>
                </w:p>
              </w:tc>
              <w:tc>
                <w:tcPr>
                  <w:tcW w:w="0" w:type="auto"/>
                  <w:vAlign w:val="center"/>
                  <w:hideMark/>
                </w:tcPr>
                <w:p w:rsidR="009E468A" w:rsidRDefault="009E468A" w:rsidP="009E468A">
                  <w:pPr>
                    <w:pStyle w:val="NormalWeb"/>
                  </w:pPr>
                  <w:r>
                    <w:t>Continuation of Past Subjunctive (Uses)</w:t>
                  </w:r>
                </w:p>
                <w:p w:rsidR="009E468A" w:rsidRDefault="009E468A" w:rsidP="009E468A">
                  <w:pPr>
                    <w:pStyle w:val="NormalWeb"/>
                  </w:pPr>
                  <w:r>
                    <w:t>The Past Subjunctive (Hypothetical)</w:t>
                  </w:r>
                </w:p>
              </w:tc>
              <w:tc>
                <w:tcPr>
                  <w:tcW w:w="0" w:type="auto"/>
                  <w:vAlign w:val="center"/>
                  <w:hideMark/>
                </w:tcPr>
                <w:p w:rsidR="009E468A" w:rsidRDefault="009E468A" w:rsidP="009E468A">
                  <w:pPr>
                    <w:pStyle w:val="NormalWeb"/>
                  </w:pPr>
                  <w:r>
                    <w:t>Culture Video: Latinos in the U.S.</w:t>
                  </w:r>
                </w:p>
                <w:p w:rsidR="009E468A" w:rsidRDefault="009E468A" w:rsidP="009E468A">
                  <w:pPr>
                    <w:pStyle w:val="NormalWeb"/>
                  </w:pPr>
                  <w:r>
                    <w:t>History Highlight: The Football War</w:t>
                  </w:r>
                </w:p>
              </w:tc>
              <w:tc>
                <w:tcPr>
                  <w:tcW w:w="0" w:type="auto"/>
                  <w:vAlign w:val="center"/>
                  <w:hideMark/>
                </w:tcPr>
                <w:p w:rsidR="009E468A" w:rsidRDefault="009E468A" w:rsidP="009E468A">
                  <w:pPr>
                    <w:pStyle w:val="NormalWeb"/>
                  </w:pPr>
                  <w:r>
                    <w:t xml:space="preserve">Letter Combinations </w:t>
                  </w:r>
                  <w:r>
                    <w:rPr>
                      <w:lang w:val="es-ES"/>
                    </w:rPr>
                    <w:t>“gue,” “gui,” “ge,” &amp; “gi”</w:t>
                  </w:r>
                </w:p>
              </w:tc>
            </w:tr>
            <w:tr w:rsidR="009E468A" w:rsidTr="009E468A">
              <w:trPr>
                <w:tblCellSpacing w:w="15" w:type="dxa"/>
              </w:trPr>
              <w:tc>
                <w:tcPr>
                  <w:tcW w:w="0" w:type="auto"/>
                  <w:vAlign w:val="center"/>
                  <w:hideMark/>
                </w:tcPr>
                <w:p w:rsidR="009E468A" w:rsidRDefault="009E468A" w:rsidP="009E468A">
                  <w:pPr>
                    <w:pStyle w:val="NormalWeb"/>
                    <w:jc w:val="center"/>
                    <w:rPr>
                      <w:b/>
                      <w:bCs/>
                    </w:rPr>
                  </w:pPr>
                  <w:r>
                    <w:rPr>
                      <w:b/>
                      <w:bCs/>
                    </w:rPr>
                    <w:t>Unit 16</w:t>
                  </w:r>
                </w:p>
                <w:p w:rsidR="009E468A" w:rsidRDefault="009E468A" w:rsidP="009E468A">
                  <w:pPr>
                    <w:pStyle w:val="NormalWeb"/>
                    <w:jc w:val="center"/>
                    <w:rPr>
                      <w:b/>
                      <w:bCs/>
                    </w:rPr>
                  </w:pPr>
                  <w:r>
                    <w:rPr>
                      <w:b/>
                      <w:bCs/>
                    </w:rPr>
                    <w:t>Project Unit</w:t>
                  </w:r>
                </w:p>
              </w:tc>
              <w:tc>
                <w:tcPr>
                  <w:tcW w:w="0" w:type="auto"/>
                  <w:vAlign w:val="center"/>
                  <w:hideMark/>
                </w:tcPr>
                <w:p w:rsidR="009E468A" w:rsidRDefault="009E468A" w:rsidP="009E468A">
                  <w:pPr>
                    <w:pStyle w:val="NormalWeb"/>
                  </w:pPr>
                  <w:r>
                    <w:t>Project: Preparing for the Future (Resumé and Job Interviews)</w:t>
                  </w:r>
                </w:p>
              </w:tc>
              <w:tc>
                <w:tcPr>
                  <w:tcW w:w="0" w:type="auto"/>
                  <w:vAlign w:val="center"/>
                  <w:hideMark/>
                </w:tcPr>
                <w:p w:rsidR="009E468A" w:rsidRDefault="009E468A" w:rsidP="009E468A">
                  <w:pPr>
                    <w:pStyle w:val="NormalWeb"/>
                  </w:pPr>
                  <w:r>
                    <w:t>Review of Tenses &amp; Moods</w:t>
                  </w:r>
                </w:p>
              </w:tc>
              <w:tc>
                <w:tcPr>
                  <w:tcW w:w="0" w:type="auto"/>
                  <w:vAlign w:val="center"/>
                  <w:hideMark/>
                </w:tcPr>
                <w:p w:rsidR="009E468A" w:rsidRDefault="009E468A" w:rsidP="009E468A">
                  <w:pPr>
                    <w:pStyle w:val="NormalWeb"/>
                  </w:pPr>
                  <w:r>
                    <w:t>None</w:t>
                  </w:r>
                </w:p>
              </w:tc>
              <w:tc>
                <w:tcPr>
                  <w:tcW w:w="0" w:type="auto"/>
                  <w:vAlign w:val="center"/>
                  <w:hideMark/>
                </w:tcPr>
                <w:p w:rsidR="009E468A" w:rsidRDefault="009E468A" w:rsidP="009E468A">
                  <w:pPr>
                    <w:pStyle w:val="NormalWeb"/>
                  </w:pPr>
                  <w:r>
                    <w:t>None</w:t>
                  </w:r>
                </w:p>
              </w:tc>
            </w:tr>
            <w:tr w:rsidR="009E468A" w:rsidTr="009E468A">
              <w:trPr>
                <w:tblCellSpacing w:w="15" w:type="dxa"/>
              </w:trPr>
              <w:tc>
                <w:tcPr>
                  <w:tcW w:w="0" w:type="auto"/>
                  <w:gridSpan w:val="5"/>
                  <w:vAlign w:val="center"/>
                  <w:hideMark/>
                </w:tcPr>
                <w:p w:rsidR="009E468A" w:rsidRDefault="009E468A" w:rsidP="009E468A">
                  <w:r>
                    <w:rPr>
                      <w:b/>
                      <w:bCs/>
                    </w:rPr>
                    <w:t>Final Review and Test</w:t>
                  </w:r>
                </w:p>
              </w:tc>
            </w:tr>
          </w:tbl>
          <w:p w:rsidR="00A60576" w:rsidRPr="00A60576" w:rsidRDefault="00A60576" w:rsidP="00A60576">
            <w:pPr>
              <w:spacing w:after="24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r w:rsidRPr="00A60576">
              <w:rPr>
                <w:rFonts w:ascii="Times New Roman" w:eastAsia="Times New Roman" w:hAnsi="Times New Roman" w:cs="Times New Roman"/>
                <w:sz w:val="24"/>
                <w:szCs w:val="24"/>
              </w:rPr>
              <w:br/>
            </w:r>
          </w:p>
        </w:tc>
      </w:tr>
    </w:tbl>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23"/>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 xml:space="preserve">MNVA-HS Grading Scale </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5"/>
              <w:gridCol w:w="516"/>
              <w:gridCol w:w="1327"/>
              <w:gridCol w:w="516"/>
              <w:gridCol w:w="1340"/>
              <w:gridCol w:w="516"/>
              <w:gridCol w:w="1285"/>
              <w:gridCol w:w="516"/>
              <w:gridCol w:w="276"/>
            </w:tblGrid>
            <w:tr w:rsidR="00A60576" w:rsidRPr="00A60576" w:rsidTr="00A60576">
              <w:tc>
                <w:tcPr>
                  <w:tcW w:w="0" w:type="auto"/>
                  <w:tcBorders>
                    <w:top w:val="single" w:sz="4" w:space="0" w:color="000000"/>
                    <w:lef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93-100 = A </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83-86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73-76 =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63-66 =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tc>
            </w:tr>
            <w:tr w:rsidR="00A60576" w:rsidRPr="00A60576" w:rsidTr="00A60576">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90-92 =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80-82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70-72 =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60-62 =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tc>
            </w:tr>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87-89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77-79 =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67-69 =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   0-59 = 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0576" w:rsidRPr="00A60576" w:rsidRDefault="00A60576" w:rsidP="00A60576">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tc>
            </w:tr>
          </w:tbl>
          <w:p w:rsidR="00A60576" w:rsidRPr="00A60576" w:rsidRDefault="00A60576" w:rsidP="00A60576">
            <w:pPr>
              <w:spacing w:after="0" w:line="240" w:lineRule="auto"/>
              <w:rPr>
                <w:rFonts w:ascii="Times New Roman" w:eastAsia="Times New Roman" w:hAnsi="Times New Roman" w:cs="Times New Roman"/>
                <w:sz w:val="24"/>
                <w:szCs w:val="24"/>
              </w:rPr>
            </w:pPr>
          </w:p>
        </w:tc>
      </w:tr>
    </w:tbl>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color w:val="FF0000"/>
          <w:sz w:val="24"/>
          <w:szCs w:val="24"/>
          <w:shd w:val="clear" w:color="auto" w:fill="FFFF00"/>
        </w:rPr>
      </w:pPr>
      <w:r w:rsidRPr="00A60576">
        <w:rPr>
          <w:rFonts w:ascii="Times New Roman" w:eastAsia="Times New Roman" w:hAnsi="Times New Roman" w:cs="Times New Roman"/>
          <w:b/>
          <w:bCs/>
          <w:color w:val="000000"/>
          <w:sz w:val="24"/>
          <w:szCs w:val="24"/>
          <w:shd w:val="clear" w:color="auto" w:fill="FFFF00"/>
        </w:rPr>
        <w:t xml:space="preserve">Late Work Policy: </w:t>
      </w:r>
    </w:p>
    <w:p w:rsidR="005D0813" w:rsidRDefault="005D0813"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p>
    <w:p w:rsidR="005D0813" w:rsidRPr="00A60576" w:rsidRDefault="005D0813"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do your best to complete your lessons daily.  After midterm, all retakes for quarter 1 and 2 must be completed along with the extra credit.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If extenuating circumstances prevent you from completing work before a deadline, please contact your teacher in advance. The late policy may be adjusted on a case by case basis at the discretion of the teacher. Students with IEPs and 504 Plans may be subject to a different policy as stated in their IEP or 504.</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spacing w:after="240" w:line="240" w:lineRule="auto"/>
        <w:rPr>
          <w:rFonts w:ascii="Times New Roman" w:eastAsia="Times New Roman" w:hAnsi="Times New Roman" w:cs="Times New Roman"/>
          <w:sz w:val="24"/>
          <w:szCs w:val="24"/>
        </w:rPr>
      </w:pPr>
    </w:p>
    <w:p w:rsidR="00A60576" w:rsidRPr="00A60576" w:rsidRDefault="00A60576" w:rsidP="00A60576">
      <w:pPr>
        <w:pBdr>
          <w:top w:val="single" w:sz="4" w:space="1" w:color="000000"/>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4"/>
          <w:szCs w:val="24"/>
          <w:u w:val="single"/>
        </w:rPr>
        <w:t>Policy for Addressing Academic Dishonesty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t>
      </w:r>
      <w:r w:rsidRPr="00A60576">
        <w:rPr>
          <w:rFonts w:ascii="Times New Roman" w:eastAsia="Times New Roman" w:hAnsi="Times New Roman" w:cs="Times New Roman"/>
          <w:b/>
          <w:bCs/>
          <w:color w:val="000000"/>
          <w:sz w:val="24"/>
          <w:szCs w:val="24"/>
        </w:rPr>
        <w:t>First offense</w:t>
      </w:r>
      <w:r w:rsidRPr="00A60576">
        <w:rPr>
          <w:rFonts w:ascii="Times New Roman" w:eastAsia="Times New Roman" w:hAnsi="Times New Roman" w:cs="Times New Roman"/>
          <w:color w:val="000000"/>
          <w:sz w:val="24"/>
          <w:szCs w:val="24"/>
        </w:rPr>
        <w:t>: the student will be required to redo the assignment. Based on the teacher’s syllabus, the student’s grade will reflect a reduction of points for the plagiarized assignment.</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t>
      </w:r>
      <w:r w:rsidRPr="00A60576">
        <w:rPr>
          <w:rFonts w:ascii="Times New Roman" w:eastAsia="Times New Roman" w:hAnsi="Times New Roman" w:cs="Times New Roman"/>
          <w:b/>
          <w:bCs/>
          <w:color w:val="000000"/>
          <w:sz w:val="24"/>
          <w:szCs w:val="24"/>
        </w:rPr>
        <w:t>Second offense</w:t>
      </w:r>
      <w:r w:rsidRPr="00A60576">
        <w:rPr>
          <w:rFonts w:ascii="Times New Roman" w:eastAsia="Times New Roman" w:hAnsi="Times New Roman" w:cs="Times New Roman"/>
          <w:color w:val="000000"/>
          <w:sz w:val="24"/>
          <w:szCs w:val="24"/>
        </w:rPr>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color w:val="000000"/>
          <w:sz w:val="24"/>
          <w:szCs w:val="24"/>
        </w:rPr>
        <w:t>●</w:t>
      </w:r>
      <w:r w:rsidRPr="00A60576">
        <w:rPr>
          <w:rFonts w:ascii="Times New Roman" w:eastAsia="Times New Roman" w:hAnsi="Times New Roman" w:cs="Times New Roman"/>
          <w:b/>
          <w:bCs/>
          <w:color w:val="000000"/>
          <w:sz w:val="24"/>
          <w:szCs w:val="24"/>
        </w:rPr>
        <w:t>Third offense</w:t>
      </w:r>
      <w:r w:rsidRPr="00A60576">
        <w:rPr>
          <w:rFonts w:ascii="Times New Roman" w:eastAsia="Times New Roman" w:hAnsi="Times New Roman" w:cs="Times New Roman"/>
          <w:color w:val="000000"/>
          <w:sz w:val="24"/>
          <w:szCs w:val="24"/>
        </w:rPr>
        <w:t>: a meeting will be called between the student, learning coach, teacher, advisor and administrator to address the recurrent plagiarism and discuss an academic plan to correct the problem and increase the student’s understanding of academic integrity.</w:t>
      </w:r>
    </w:p>
    <w:p w:rsidR="00A60576" w:rsidRPr="00A60576" w:rsidRDefault="00A60576" w:rsidP="00A60576">
      <w:pPr>
        <w:pBdr>
          <w:left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sz w:val="24"/>
          <w:szCs w:val="24"/>
        </w:rPr>
        <w:t> </w:t>
      </w:r>
    </w:p>
    <w:p w:rsidR="00A60576" w:rsidRPr="00A60576" w:rsidRDefault="00A60576" w:rsidP="00A60576">
      <w:pPr>
        <w:pBdr>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i/>
          <w:iCs/>
          <w:color w:val="000000"/>
          <w:sz w:val="24"/>
          <w:szCs w:val="24"/>
        </w:rPr>
        <w:t>Repeated offenses may result in the recommendation that the student be removed from the course. Removal from a course is subject to authorization by administration and, where necessary, will result in a failing grade in the course for the semester.</w:t>
      </w:r>
    </w:p>
    <w:p w:rsidR="00A60576" w:rsidRPr="00A60576" w:rsidRDefault="00A60576" w:rsidP="00A60576">
      <w:pPr>
        <w:spacing w:after="0" w:line="240" w:lineRule="auto"/>
        <w:rPr>
          <w:rFonts w:ascii="Times New Roman" w:eastAsia="Times New Roman" w:hAnsi="Times New Roman" w:cs="Times New Roman"/>
          <w:sz w:val="24"/>
          <w:szCs w:val="24"/>
        </w:rPr>
      </w:pPr>
    </w:p>
    <w:p w:rsidR="00A60576" w:rsidRPr="00A60576" w:rsidRDefault="00A60576" w:rsidP="00A60576">
      <w:pPr>
        <w:spacing w:after="0" w:line="240" w:lineRule="auto"/>
        <w:rPr>
          <w:rFonts w:ascii="Times New Roman" w:eastAsia="Times New Roman" w:hAnsi="Times New Roman" w:cs="Times New Roman"/>
          <w:sz w:val="24"/>
          <w:szCs w:val="24"/>
        </w:rPr>
      </w:pPr>
      <w:r w:rsidRPr="00A60576">
        <w:rPr>
          <w:rFonts w:ascii="Times New Roman" w:eastAsia="Times New Roman" w:hAnsi="Times New Roman" w:cs="Times New Roman"/>
          <w:b/>
          <w:bCs/>
          <w:color w:val="000000"/>
          <w:sz w:val="28"/>
          <w:szCs w:val="28"/>
        </w:rPr>
        <w:t>Minnesota Academic Standards Alignment (If no Minnesota Academic Standards exist, alignments follow national professional standards.)</w:t>
      </w:r>
    </w:p>
    <w:p w:rsidR="00A60576" w:rsidRPr="00A60576" w:rsidRDefault="00A60576" w:rsidP="00A605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60576" w:rsidRPr="00A60576" w:rsidTr="00A605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813" w:rsidRDefault="005D0813" w:rsidP="00A60576">
            <w:pPr>
              <w:spacing w:after="240" w:line="240" w:lineRule="auto"/>
              <w:rPr>
                <w:rFonts w:ascii="Times New Roman" w:eastAsia="Times New Roman" w:hAnsi="Times New Roman" w:cs="Times New Roman"/>
                <w:color w:val="FF0000"/>
                <w:sz w:val="24"/>
                <w:szCs w:val="24"/>
                <w:shd w:val="clear" w:color="auto" w:fill="FFFF00"/>
              </w:rPr>
            </w:pPr>
          </w:p>
          <w:p w:rsidR="005D0813" w:rsidRDefault="005D0813" w:rsidP="00A60576">
            <w:pPr>
              <w:spacing w:after="240" w:line="240" w:lineRule="auto"/>
              <w:rPr>
                <w:rFonts w:ascii="Times New Roman" w:eastAsia="Times New Roman" w:hAnsi="Times New Roman" w:cs="Times New Roman"/>
                <w:sz w:val="24"/>
                <w:szCs w:val="24"/>
              </w:rPr>
            </w:pPr>
            <w:r>
              <w:t>The course has been carefully aligned to national standards as set forth by ACTFL (the American Council on the Teaching of Foreign Languages).</w:t>
            </w:r>
            <w:r w:rsidR="00A60576" w:rsidRPr="00A60576">
              <w:rPr>
                <w:rFonts w:ascii="Times New Roman" w:eastAsia="Times New Roman" w:hAnsi="Times New Roman" w:cs="Times New Roman"/>
                <w:sz w:val="24"/>
                <w:szCs w:val="24"/>
              </w:rPr>
              <w:br/>
            </w:r>
          </w:p>
          <w:p w:rsidR="005D0813" w:rsidRDefault="005D0813" w:rsidP="00A60576">
            <w:pPr>
              <w:spacing w:after="240" w:line="240" w:lineRule="auto"/>
              <w:rPr>
                <w:rFonts w:ascii="Times New Roman" w:eastAsia="Times New Roman" w:hAnsi="Times New Roman" w:cs="Times New Roman"/>
                <w:sz w:val="24"/>
                <w:szCs w:val="24"/>
              </w:rPr>
            </w:pPr>
          </w:p>
          <w:p w:rsidR="00A60576" w:rsidRPr="00A60576" w:rsidRDefault="005D0813" w:rsidP="00A60576">
            <w:pPr>
              <w:spacing w:after="240" w:line="240" w:lineRule="auto"/>
              <w:rPr>
                <w:rFonts w:ascii="Times New Roman" w:eastAsia="Times New Roman" w:hAnsi="Times New Roman" w:cs="Times New Roman"/>
                <w:sz w:val="24"/>
                <w:szCs w:val="24"/>
              </w:rPr>
            </w:pPr>
            <w:r w:rsidRPr="005D0813">
              <w:rPr>
                <w:rFonts w:ascii="Times New Roman" w:eastAsia="Times New Roman" w:hAnsi="Times New Roman" w:cs="Times New Roman"/>
                <w:sz w:val="24"/>
                <w:szCs w:val="24"/>
              </w:rPr>
              <w:t>https://www.actfl.org/news/press-releases/national-standards-collaborative-board-releases-iworld-readiness-standards-learning-languagesi</w:t>
            </w:r>
            <w:r w:rsidR="00A60576" w:rsidRPr="00A60576">
              <w:rPr>
                <w:rFonts w:ascii="Times New Roman" w:eastAsia="Times New Roman" w:hAnsi="Times New Roman" w:cs="Times New Roman"/>
                <w:sz w:val="24"/>
                <w:szCs w:val="24"/>
              </w:rPr>
              <w:br/>
            </w:r>
            <w:r w:rsidR="00A60576" w:rsidRPr="00A60576">
              <w:rPr>
                <w:rFonts w:ascii="Times New Roman" w:eastAsia="Times New Roman" w:hAnsi="Times New Roman" w:cs="Times New Roman"/>
                <w:sz w:val="24"/>
                <w:szCs w:val="24"/>
              </w:rPr>
              <w:lastRenderedPageBreak/>
              <w:br/>
            </w:r>
            <w:r w:rsidR="00A60576" w:rsidRPr="00A60576">
              <w:rPr>
                <w:rFonts w:ascii="Times New Roman" w:eastAsia="Times New Roman" w:hAnsi="Times New Roman" w:cs="Times New Roman"/>
                <w:sz w:val="24"/>
                <w:szCs w:val="24"/>
              </w:rPr>
              <w:br/>
            </w:r>
          </w:p>
        </w:tc>
      </w:tr>
    </w:tbl>
    <w:p w:rsidR="00B90974" w:rsidRDefault="00B90974"/>
    <w:sectPr w:rsidR="00B9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E1A"/>
    <w:multiLevelType w:val="multilevel"/>
    <w:tmpl w:val="ABD4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7B55"/>
    <w:multiLevelType w:val="multilevel"/>
    <w:tmpl w:val="69C2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C7FD0"/>
    <w:multiLevelType w:val="multilevel"/>
    <w:tmpl w:val="47C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5D4A"/>
    <w:multiLevelType w:val="multilevel"/>
    <w:tmpl w:val="72EA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D67"/>
    <w:multiLevelType w:val="multilevel"/>
    <w:tmpl w:val="5276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C2A00"/>
    <w:multiLevelType w:val="multilevel"/>
    <w:tmpl w:val="0D1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658FD"/>
    <w:multiLevelType w:val="multilevel"/>
    <w:tmpl w:val="540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D75C2"/>
    <w:multiLevelType w:val="multilevel"/>
    <w:tmpl w:val="CC6A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D0CC8"/>
    <w:multiLevelType w:val="multilevel"/>
    <w:tmpl w:val="0D02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1200A"/>
    <w:multiLevelType w:val="multilevel"/>
    <w:tmpl w:val="CF20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E02D2"/>
    <w:multiLevelType w:val="multilevel"/>
    <w:tmpl w:val="E50C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62200"/>
    <w:multiLevelType w:val="multilevel"/>
    <w:tmpl w:val="110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A0E13"/>
    <w:multiLevelType w:val="multilevel"/>
    <w:tmpl w:val="3974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068ED"/>
    <w:multiLevelType w:val="multilevel"/>
    <w:tmpl w:val="188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856B6"/>
    <w:multiLevelType w:val="multilevel"/>
    <w:tmpl w:val="8DC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32644"/>
    <w:multiLevelType w:val="multilevel"/>
    <w:tmpl w:val="750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E6F3C"/>
    <w:multiLevelType w:val="multilevel"/>
    <w:tmpl w:val="47DA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86A9B"/>
    <w:multiLevelType w:val="multilevel"/>
    <w:tmpl w:val="FE3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F1003"/>
    <w:multiLevelType w:val="multilevel"/>
    <w:tmpl w:val="E12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430C1"/>
    <w:multiLevelType w:val="multilevel"/>
    <w:tmpl w:val="3D0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223D7"/>
    <w:multiLevelType w:val="multilevel"/>
    <w:tmpl w:val="6160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21217"/>
    <w:multiLevelType w:val="multilevel"/>
    <w:tmpl w:val="7AE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44A85"/>
    <w:multiLevelType w:val="multilevel"/>
    <w:tmpl w:val="1DA0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1939B9"/>
    <w:multiLevelType w:val="multilevel"/>
    <w:tmpl w:val="4A46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2746F"/>
    <w:multiLevelType w:val="multilevel"/>
    <w:tmpl w:val="0F6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D1043B"/>
    <w:multiLevelType w:val="multilevel"/>
    <w:tmpl w:val="052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E15AE"/>
    <w:multiLevelType w:val="multilevel"/>
    <w:tmpl w:val="D78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C72C8"/>
    <w:multiLevelType w:val="multilevel"/>
    <w:tmpl w:val="6FC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31454B"/>
    <w:multiLevelType w:val="multilevel"/>
    <w:tmpl w:val="016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13D30"/>
    <w:multiLevelType w:val="multilevel"/>
    <w:tmpl w:val="56FE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43398D"/>
    <w:multiLevelType w:val="multilevel"/>
    <w:tmpl w:val="1984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905798"/>
    <w:multiLevelType w:val="multilevel"/>
    <w:tmpl w:val="5FA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A479E7"/>
    <w:multiLevelType w:val="multilevel"/>
    <w:tmpl w:val="AB8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7C3C6C"/>
    <w:multiLevelType w:val="multilevel"/>
    <w:tmpl w:val="90E6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CD5EFC"/>
    <w:multiLevelType w:val="multilevel"/>
    <w:tmpl w:val="8A6E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77611F"/>
    <w:multiLevelType w:val="multilevel"/>
    <w:tmpl w:val="4BDA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D020EB"/>
    <w:multiLevelType w:val="multilevel"/>
    <w:tmpl w:val="19C2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A84536"/>
    <w:multiLevelType w:val="multilevel"/>
    <w:tmpl w:val="EC6C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B721B"/>
    <w:multiLevelType w:val="multilevel"/>
    <w:tmpl w:val="864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F3B69"/>
    <w:multiLevelType w:val="multilevel"/>
    <w:tmpl w:val="E07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91143A"/>
    <w:multiLevelType w:val="multilevel"/>
    <w:tmpl w:val="477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64BF7"/>
    <w:multiLevelType w:val="multilevel"/>
    <w:tmpl w:val="EEE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7"/>
  </w:num>
  <w:num w:numId="4">
    <w:abstractNumId w:val="26"/>
  </w:num>
  <w:num w:numId="5">
    <w:abstractNumId w:val="32"/>
  </w:num>
  <w:num w:numId="6">
    <w:abstractNumId w:val="23"/>
  </w:num>
  <w:num w:numId="7">
    <w:abstractNumId w:val="30"/>
  </w:num>
  <w:num w:numId="8">
    <w:abstractNumId w:val="39"/>
  </w:num>
  <w:num w:numId="9">
    <w:abstractNumId w:val="17"/>
  </w:num>
  <w:num w:numId="10">
    <w:abstractNumId w:val="7"/>
  </w:num>
  <w:num w:numId="11">
    <w:abstractNumId w:val="27"/>
  </w:num>
  <w:num w:numId="12">
    <w:abstractNumId w:val="40"/>
  </w:num>
  <w:num w:numId="13">
    <w:abstractNumId w:val="41"/>
  </w:num>
  <w:num w:numId="14">
    <w:abstractNumId w:val="36"/>
  </w:num>
  <w:num w:numId="15">
    <w:abstractNumId w:val="31"/>
  </w:num>
  <w:num w:numId="16">
    <w:abstractNumId w:val="19"/>
  </w:num>
  <w:num w:numId="17">
    <w:abstractNumId w:val="15"/>
  </w:num>
  <w:num w:numId="18">
    <w:abstractNumId w:val="1"/>
  </w:num>
  <w:num w:numId="19">
    <w:abstractNumId w:val="14"/>
  </w:num>
  <w:num w:numId="20">
    <w:abstractNumId w:val="13"/>
  </w:num>
  <w:num w:numId="21">
    <w:abstractNumId w:val="35"/>
  </w:num>
  <w:num w:numId="22">
    <w:abstractNumId w:val="2"/>
  </w:num>
  <w:num w:numId="23">
    <w:abstractNumId w:val="18"/>
  </w:num>
  <w:num w:numId="24">
    <w:abstractNumId w:val="8"/>
  </w:num>
  <w:num w:numId="25">
    <w:abstractNumId w:val="28"/>
  </w:num>
  <w:num w:numId="26">
    <w:abstractNumId w:val="21"/>
  </w:num>
  <w:num w:numId="27">
    <w:abstractNumId w:val="34"/>
  </w:num>
  <w:num w:numId="28">
    <w:abstractNumId w:val="4"/>
  </w:num>
  <w:num w:numId="29">
    <w:abstractNumId w:val="9"/>
  </w:num>
  <w:num w:numId="30">
    <w:abstractNumId w:val="11"/>
  </w:num>
  <w:num w:numId="31">
    <w:abstractNumId w:val="3"/>
  </w:num>
  <w:num w:numId="32">
    <w:abstractNumId w:val="22"/>
  </w:num>
  <w:num w:numId="33">
    <w:abstractNumId w:val="16"/>
  </w:num>
  <w:num w:numId="34">
    <w:abstractNumId w:val="20"/>
  </w:num>
  <w:num w:numId="35">
    <w:abstractNumId w:val="0"/>
  </w:num>
  <w:num w:numId="36">
    <w:abstractNumId w:val="24"/>
  </w:num>
  <w:num w:numId="37">
    <w:abstractNumId w:val="6"/>
  </w:num>
  <w:num w:numId="38">
    <w:abstractNumId w:val="33"/>
  </w:num>
  <w:num w:numId="39">
    <w:abstractNumId w:val="25"/>
  </w:num>
  <w:num w:numId="40">
    <w:abstractNumId w:val="29"/>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76"/>
    <w:rsid w:val="00254F7E"/>
    <w:rsid w:val="00335F45"/>
    <w:rsid w:val="005D0813"/>
    <w:rsid w:val="00832D23"/>
    <w:rsid w:val="009E468A"/>
    <w:rsid w:val="009F5536"/>
    <w:rsid w:val="00A60576"/>
    <w:rsid w:val="00AB0AE8"/>
    <w:rsid w:val="00B90974"/>
    <w:rsid w:val="00BD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1F746-30B2-4031-886C-EA273527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D0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0813"/>
    <w:rPr>
      <w:rFonts w:ascii="Times New Roman" w:eastAsia="Times New Roman" w:hAnsi="Times New Roman" w:cs="Times New Roman"/>
      <w:b/>
      <w:bCs/>
      <w:sz w:val="27"/>
      <w:szCs w:val="27"/>
    </w:rPr>
  </w:style>
  <w:style w:type="paragraph" w:customStyle="1" w:styleId="rtecenter">
    <w:name w:val="rtecenter"/>
    <w:basedOn w:val="Normal"/>
    <w:rsid w:val="009F5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4784">
      <w:bodyDiv w:val="1"/>
      <w:marLeft w:val="0"/>
      <w:marRight w:val="0"/>
      <w:marTop w:val="0"/>
      <w:marBottom w:val="0"/>
      <w:divBdr>
        <w:top w:val="none" w:sz="0" w:space="0" w:color="auto"/>
        <w:left w:val="none" w:sz="0" w:space="0" w:color="auto"/>
        <w:bottom w:val="none" w:sz="0" w:space="0" w:color="auto"/>
        <w:right w:val="none" w:sz="0" w:space="0" w:color="auto"/>
      </w:divBdr>
    </w:div>
    <w:div w:id="425854220">
      <w:bodyDiv w:val="1"/>
      <w:marLeft w:val="0"/>
      <w:marRight w:val="0"/>
      <w:marTop w:val="0"/>
      <w:marBottom w:val="0"/>
      <w:divBdr>
        <w:top w:val="none" w:sz="0" w:space="0" w:color="auto"/>
        <w:left w:val="none" w:sz="0" w:space="0" w:color="auto"/>
        <w:bottom w:val="none" w:sz="0" w:space="0" w:color="auto"/>
        <w:right w:val="none" w:sz="0" w:space="0" w:color="auto"/>
      </w:divBdr>
      <w:divsChild>
        <w:div w:id="1465581818">
          <w:marLeft w:val="-108"/>
          <w:marRight w:val="0"/>
          <w:marTop w:val="0"/>
          <w:marBottom w:val="0"/>
          <w:divBdr>
            <w:top w:val="none" w:sz="0" w:space="0" w:color="auto"/>
            <w:left w:val="none" w:sz="0" w:space="0" w:color="auto"/>
            <w:bottom w:val="none" w:sz="0" w:space="0" w:color="auto"/>
            <w:right w:val="none" w:sz="0" w:space="0" w:color="auto"/>
          </w:divBdr>
        </w:div>
        <w:div w:id="1513639545">
          <w:marLeft w:val="-108"/>
          <w:marRight w:val="0"/>
          <w:marTop w:val="0"/>
          <w:marBottom w:val="0"/>
          <w:divBdr>
            <w:top w:val="none" w:sz="0" w:space="0" w:color="auto"/>
            <w:left w:val="none" w:sz="0" w:space="0" w:color="auto"/>
            <w:bottom w:val="none" w:sz="0" w:space="0" w:color="auto"/>
            <w:right w:val="none" w:sz="0" w:space="0" w:color="auto"/>
          </w:divBdr>
        </w:div>
        <w:div w:id="1655064320">
          <w:marLeft w:val="-108"/>
          <w:marRight w:val="0"/>
          <w:marTop w:val="0"/>
          <w:marBottom w:val="0"/>
          <w:divBdr>
            <w:top w:val="none" w:sz="0" w:space="0" w:color="auto"/>
            <w:left w:val="none" w:sz="0" w:space="0" w:color="auto"/>
            <w:bottom w:val="none" w:sz="0" w:space="0" w:color="auto"/>
            <w:right w:val="none" w:sz="0" w:space="0" w:color="auto"/>
          </w:divBdr>
        </w:div>
        <w:div w:id="381634104">
          <w:marLeft w:val="-108"/>
          <w:marRight w:val="0"/>
          <w:marTop w:val="0"/>
          <w:marBottom w:val="0"/>
          <w:divBdr>
            <w:top w:val="none" w:sz="0" w:space="0" w:color="auto"/>
            <w:left w:val="none" w:sz="0" w:space="0" w:color="auto"/>
            <w:bottom w:val="none" w:sz="0" w:space="0" w:color="auto"/>
            <w:right w:val="none" w:sz="0" w:space="0" w:color="auto"/>
          </w:divBdr>
          <w:divsChild>
            <w:div w:id="19817924">
              <w:marLeft w:val="0"/>
              <w:marRight w:val="0"/>
              <w:marTop w:val="0"/>
              <w:marBottom w:val="0"/>
              <w:divBdr>
                <w:top w:val="none" w:sz="0" w:space="0" w:color="auto"/>
                <w:left w:val="none" w:sz="0" w:space="0" w:color="auto"/>
                <w:bottom w:val="none" w:sz="0" w:space="0" w:color="auto"/>
                <w:right w:val="none" w:sz="0" w:space="0" w:color="auto"/>
              </w:divBdr>
            </w:div>
          </w:divsChild>
        </w:div>
        <w:div w:id="1285114997">
          <w:marLeft w:val="-108"/>
          <w:marRight w:val="0"/>
          <w:marTop w:val="0"/>
          <w:marBottom w:val="0"/>
          <w:divBdr>
            <w:top w:val="none" w:sz="0" w:space="0" w:color="auto"/>
            <w:left w:val="none" w:sz="0" w:space="0" w:color="auto"/>
            <w:bottom w:val="none" w:sz="0" w:space="0" w:color="auto"/>
            <w:right w:val="none" w:sz="0" w:space="0" w:color="auto"/>
          </w:divBdr>
        </w:div>
        <w:div w:id="2014801405">
          <w:marLeft w:val="-108"/>
          <w:marRight w:val="0"/>
          <w:marTop w:val="0"/>
          <w:marBottom w:val="0"/>
          <w:divBdr>
            <w:top w:val="none" w:sz="0" w:space="0" w:color="auto"/>
            <w:left w:val="none" w:sz="0" w:space="0" w:color="auto"/>
            <w:bottom w:val="none" w:sz="0" w:space="0" w:color="auto"/>
            <w:right w:val="none" w:sz="0" w:space="0" w:color="auto"/>
          </w:divBdr>
        </w:div>
      </w:divsChild>
    </w:div>
    <w:div w:id="1098870604">
      <w:bodyDiv w:val="1"/>
      <w:marLeft w:val="0"/>
      <w:marRight w:val="0"/>
      <w:marTop w:val="0"/>
      <w:marBottom w:val="0"/>
      <w:divBdr>
        <w:top w:val="none" w:sz="0" w:space="0" w:color="auto"/>
        <w:left w:val="none" w:sz="0" w:space="0" w:color="auto"/>
        <w:bottom w:val="none" w:sz="0" w:space="0" w:color="auto"/>
        <w:right w:val="none" w:sz="0" w:space="0" w:color="auto"/>
      </w:divBdr>
    </w:div>
    <w:div w:id="1490055859">
      <w:bodyDiv w:val="1"/>
      <w:marLeft w:val="0"/>
      <w:marRight w:val="0"/>
      <w:marTop w:val="0"/>
      <w:marBottom w:val="0"/>
      <w:divBdr>
        <w:top w:val="none" w:sz="0" w:space="0" w:color="auto"/>
        <w:left w:val="none" w:sz="0" w:space="0" w:color="auto"/>
        <w:bottom w:val="none" w:sz="0" w:space="0" w:color="auto"/>
        <w:right w:val="none" w:sz="0" w:space="0" w:color="auto"/>
      </w:divBdr>
    </w:div>
    <w:div w:id="1630360801">
      <w:bodyDiv w:val="1"/>
      <w:marLeft w:val="0"/>
      <w:marRight w:val="0"/>
      <w:marTop w:val="0"/>
      <w:marBottom w:val="0"/>
      <w:divBdr>
        <w:top w:val="none" w:sz="0" w:space="0" w:color="auto"/>
        <w:left w:val="none" w:sz="0" w:space="0" w:color="auto"/>
        <w:bottom w:val="none" w:sz="0" w:space="0" w:color="auto"/>
        <w:right w:val="none" w:sz="0" w:space="0" w:color="auto"/>
      </w:divBdr>
    </w:div>
    <w:div w:id="1932616439">
      <w:bodyDiv w:val="1"/>
      <w:marLeft w:val="0"/>
      <w:marRight w:val="0"/>
      <w:marTop w:val="0"/>
      <w:marBottom w:val="0"/>
      <w:divBdr>
        <w:top w:val="none" w:sz="0" w:space="0" w:color="auto"/>
        <w:left w:val="none" w:sz="0" w:space="0" w:color="auto"/>
        <w:bottom w:val="none" w:sz="0" w:space="0" w:color="auto"/>
        <w:right w:val="none" w:sz="0" w:space="0" w:color="auto"/>
      </w:divBdr>
    </w:div>
    <w:div w:id="20704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Lopez</dc:creator>
  <cp:keywords/>
  <dc:description/>
  <cp:lastModifiedBy>Shelley Duffy</cp:lastModifiedBy>
  <cp:revision>2</cp:revision>
  <dcterms:created xsi:type="dcterms:W3CDTF">2018-10-17T15:00:00Z</dcterms:created>
  <dcterms:modified xsi:type="dcterms:W3CDTF">2018-10-17T15:00:00Z</dcterms:modified>
</cp:coreProperties>
</file>