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9535C7">
        <w:rPr>
          <w:rFonts w:ascii="Times New Roman" w:hAnsi="Times New Roman"/>
          <w:color w:val="7030A0"/>
          <w:sz w:val="28"/>
          <w:szCs w:val="28"/>
        </w:rPr>
        <w:t xml:space="preserve">December </w:t>
      </w:r>
      <w:r w:rsidR="00096ACC">
        <w:rPr>
          <w:rFonts w:ascii="Times New Roman" w:hAnsi="Times New Roman"/>
          <w:color w:val="7030A0"/>
          <w:sz w:val="28"/>
          <w:szCs w:val="28"/>
        </w:rPr>
        <w:t>1</w:t>
      </w:r>
      <w:r w:rsidR="00D73997">
        <w:rPr>
          <w:rFonts w:ascii="Times New Roman" w:hAnsi="Times New Roman"/>
          <w:color w:val="7030A0"/>
          <w:sz w:val="28"/>
          <w:szCs w:val="28"/>
        </w:rPr>
        <w:t>4</w:t>
      </w:r>
      <w:r w:rsidR="00B35172">
        <w:rPr>
          <w:rFonts w:ascii="Times New Roman" w:hAnsi="Times New Roman"/>
          <w:color w:val="7030A0"/>
          <w:sz w:val="28"/>
          <w:szCs w:val="28"/>
        </w:rPr>
        <w:t>, 20</w:t>
      </w:r>
      <w:r w:rsidR="00D73997">
        <w:rPr>
          <w:rFonts w:ascii="Times New Roman" w:hAnsi="Times New Roman"/>
          <w:color w:val="7030A0"/>
          <w:sz w:val="28"/>
          <w:szCs w:val="28"/>
        </w:rPr>
        <w:t>20</w:t>
      </w:r>
      <w:r w:rsidR="00B35172">
        <w:rPr>
          <w:rFonts w:ascii="Times New Roman" w:hAnsi="Times New Roman"/>
          <w:color w:val="7030A0"/>
          <w:sz w:val="28"/>
          <w:szCs w:val="28"/>
        </w:rPr>
        <w:t xml:space="preserve"> at </w:t>
      </w:r>
      <w:r w:rsidR="009535C7">
        <w:rPr>
          <w:rFonts w:ascii="Times New Roman" w:hAnsi="Times New Roman"/>
          <w:color w:val="7030A0"/>
          <w:sz w:val="28"/>
          <w:szCs w:val="28"/>
        </w:rPr>
        <w:t>7</w:t>
      </w:r>
      <w:r w:rsidR="00B35172">
        <w:rPr>
          <w:rFonts w:ascii="Times New Roman" w:hAnsi="Times New Roman"/>
          <w:color w:val="7030A0"/>
          <w:sz w:val="28"/>
          <w:szCs w:val="28"/>
        </w:rPr>
        <w:t>:</w:t>
      </w:r>
      <w:r w:rsidR="009535C7">
        <w:rPr>
          <w:rFonts w:ascii="Times New Roman" w:hAnsi="Times New Roman"/>
          <w:color w:val="7030A0"/>
          <w:sz w:val="28"/>
          <w:szCs w:val="28"/>
        </w:rPr>
        <w:t>00</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 xml:space="preserve">High School </w:t>
      </w:r>
      <w:r w:rsidR="00D73997">
        <w:rPr>
          <w:rFonts w:ascii="Times New Roman" w:hAnsi="Times New Roman"/>
          <w:color w:val="7030A0"/>
          <w:sz w:val="28"/>
          <w:szCs w:val="28"/>
        </w:rPr>
        <w:t>Library</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096ACC">
        <w:rPr>
          <w:rFonts w:ascii="Times New Roman" w:hAnsi="Times New Roman" w:cs="Times New Roman"/>
          <w:color w:val="00B050"/>
          <w:sz w:val="24"/>
          <w:szCs w:val="24"/>
        </w:rPr>
        <w:t>November 1</w:t>
      </w:r>
      <w:r w:rsidR="00D73997">
        <w:rPr>
          <w:rFonts w:ascii="Times New Roman" w:hAnsi="Times New Roman" w:cs="Times New Roman"/>
          <w:color w:val="00B050"/>
          <w:sz w:val="24"/>
          <w:szCs w:val="24"/>
        </w:rPr>
        <w:t>6</w:t>
      </w:r>
      <w:r w:rsidR="00292F42">
        <w:rPr>
          <w:rFonts w:ascii="Times New Roman" w:hAnsi="Times New Roman" w:cs="Times New Roman"/>
          <w:color w:val="00B050"/>
          <w:sz w:val="24"/>
          <w:szCs w:val="24"/>
        </w:rPr>
        <w:t>, 20</w:t>
      </w:r>
      <w:r w:rsidR="00D73997">
        <w:rPr>
          <w:rFonts w:ascii="Times New Roman" w:hAnsi="Times New Roman" w:cs="Times New Roman"/>
          <w:color w:val="00B050"/>
          <w:sz w:val="24"/>
          <w:szCs w:val="24"/>
        </w:rPr>
        <w:t>20</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 xml:space="preserve">tivity Fund, Bills, Treasurer’s </w:t>
      </w:r>
      <w:r w:rsidR="009535C7">
        <w:rPr>
          <w:rFonts w:ascii="Times New Roman" w:hAnsi="Times New Roman" w:cs="Times New Roman"/>
          <w:color w:val="00B050"/>
          <w:sz w:val="24"/>
          <w:szCs w:val="24"/>
        </w:rPr>
        <w:tab/>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501AD3"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E309FF">
        <w:rPr>
          <w:rFonts w:ascii="Times New Roman" w:hAnsi="Times New Roman" w:cs="Times New Roman"/>
          <w:color w:val="002060"/>
          <w:sz w:val="24"/>
          <w:szCs w:val="24"/>
        </w:rPr>
        <w:t>Accept FY20 Annual Financial Report</w:t>
      </w:r>
    </w:p>
    <w:p w:rsidR="00501AD3"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Consider </w:t>
      </w:r>
      <w:r w:rsidR="00E309FF">
        <w:rPr>
          <w:rFonts w:ascii="Times New Roman" w:hAnsi="Times New Roman" w:cs="Times New Roman"/>
          <w:color w:val="002060"/>
          <w:sz w:val="24"/>
          <w:szCs w:val="24"/>
        </w:rPr>
        <w:t>Transitional Math Initiative</w:t>
      </w:r>
    </w:p>
    <w:p w:rsidR="0038610A" w:rsidRDefault="0038610A"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Consider Grade School Athletic Handbook</w:t>
      </w:r>
    </w:p>
    <w:p w:rsidR="0038610A" w:rsidRDefault="0038610A"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D. Consider Mrs. Debbie Moore as the Treasurer of the General Fund</w:t>
      </w:r>
    </w:p>
    <w:p w:rsidR="00E665B4" w:rsidRDefault="00E665B4"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E. Consider Co-Signature Changes on Funds with First Southern Bank</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096ACC">
        <w:rPr>
          <w:rFonts w:ascii="Times New Roman" w:hAnsi="Times New Roman" w:cs="Times New Roman"/>
          <w:color w:val="FF0000"/>
          <w:sz w:val="24"/>
          <w:szCs w:val="24"/>
        </w:rPr>
        <w:t>Current Bond Payment</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096ACC">
        <w:rPr>
          <w:rFonts w:ascii="Times New Roman" w:hAnsi="Times New Roman" w:cs="Times New Roman"/>
          <w:color w:val="FF0000"/>
          <w:sz w:val="24"/>
          <w:szCs w:val="24"/>
        </w:rPr>
        <w:t>January Board Meeting: January 2</w:t>
      </w:r>
      <w:r w:rsidR="00D73997">
        <w:rPr>
          <w:rFonts w:ascii="Times New Roman" w:hAnsi="Times New Roman" w:cs="Times New Roman"/>
          <w:color w:val="FF0000"/>
          <w:sz w:val="24"/>
          <w:szCs w:val="24"/>
        </w:rPr>
        <w:t>5</w:t>
      </w:r>
      <w:r w:rsidR="00096ACC">
        <w:rPr>
          <w:rFonts w:ascii="Times New Roman" w:hAnsi="Times New Roman" w:cs="Times New Roman"/>
          <w:color w:val="FF0000"/>
          <w:sz w:val="24"/>
          <w:szCs w:val="24"/>
        </w:rPr>
        <w:t>, 202</w:t>
      </w:r>
      <w:r w:rsidR="00D73997">
        <w:rPr>
          <w:rFonts w:ascii="Times New Roman" w:hAnsi="Times New Roman" w:cs="Times New Roman"/>
          <w:color w:val="FF0000"/>
          <w:sz w:val="24"/>
          <w:szCs w:val="24"/>
        </w:rPr>
        <w:t>1</w:t>
      </w:r>
      <w:r w:rsidR="00096ACC">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E309FF">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083E23">
        <w:rPr>
          <w:rFonts w:ascii="Times New Roman" w:hAnsi="Times New Roman" w:cs="Times New Roman"/>
          <w:color w:val="7030A0"/>
          <w:sz w:val="24"/>
          <w:szCs w:val="24"/>
        </w:rPr>
        <w:t xml:space="preserve">Consider </w:t>
      </w:r>
      <w:r w:rsidR="00E309FF">
        <w:rPr>
          <w:rFonts w:ascii="Times New Roman" w:hAnsi="Times New Roman" w:cs="Times New Roman"/>
          <w:color w:val="7030A0"/>
          <w:sz w:val="24"/>
          <w:szCs w:val="24"/>
        </w:rPr>
        <w:t>Salaries for Non-Bargaining Unit Employees</w:t>
      </w:r>
    </w:p>
    <w:p w:rsidR="005C77E2" w:rsidRDefault="005C77E2"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B. </w:t>
      </w:r>
      <w:r w:rsidR="00E309FF">
        <w:rPr>
          <w:rFonts w:ascii="Times New Roman" w:hAnsi="Times New Roman" w:cs="Times New Roman"/>
          <w:color w:val="7030A0"/>
          <w:sz w:val="24"/>
          <w:szCs w:val="24"/>
        </w:rPr>
        <w:t>Consider Non-Certified Personnel Description of Salary and Benefits</w:t>
      </w:r>
    </w:p>
    <w:p w:rsidR="0038610A" w:rsidRPr="0038610A" w:rsidRDefault="0038610A" w:rsidP="0038610A">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Pr="0038610A">
        <w:rPr>
          <w:rFonts w:ascii="Times New Roman" w:hAnsi="Times New Roman" w:cs="Times New Roman"/>
          <w:color w:val="7030A0"/>
          <w:sz w:val="24"/>
          <w:szCs w:val="24"/>
        </w:rPr>
        <w:t>C. Consider Hiring a Jr. High Student Council Sponsor</w:t>
      </w:r>
    </w:p>
    <w:p w:rsidR="0038610A" w:rsidRPr="0038610A" w:rsidRDefault="0038610A" w:rsidP="0038610A">
      <w:pPr>
        <w:pStyle w:val="NoSpacing"/>
        <w:rPr>
          <w:rFonts w:ascii="Times New Roman" w:hAnsi="Times New Roman" w:cs="Times New Roman"/>
          <w:color w:val="7030A0"/>
          <w:sz w:val="24"/>
          <w:szCs w:val="24"/>
        </w:rPr>
      </w:pPr>
      <w:r>
        <w:rPr>
          <w:rFonts w:ascii="Times New Roman" w:hAnsi="Times New Roman" w:cs="Times New Roman"/>
          <w:color w:val="7030A0"/>
          <w:sz w:val="24"/>
          <w:szCs w:val="24"/>
        </w:rPr>
        <w:tab/>
      </w:r>
      <w:r w:rsidRPr="0038610A">
        <w:rPr>
          <w:rFonts w:ascii="Times New Roman" w:hAnsi="Times New Roman" w:cs="Times New Roman"/>
          <w:color w:val="7030A0"/>
          <w:sz w:val="24"/>
          <w:szCs w:val="24"/>
        </w:rPr>
        <w:t>D. Consider School Schedule for the 3rd Quarter</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6752EC" w:rsidRDefault="006752EC" w:rsidP="000B7861">
      <w:pPr>
        <w:pStyle w:val="NoSpacing"/>
        <w:rPr>
          <w:rFonts w:ascii="Times New Roman" w:hAnsi="Times New Roman" w:cs="Times New Roman"/>
          <w:sz w:val="24"/>
          <w:szCs w:val="24"/>
        </w:rPr>
      </w:pPr>
    </w:p>
    <w:p w:rsidR="00A936B8" w:rsidRDefault="00A936B8"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C215B1" w:rsidRDefault="00C215B1" w:rsidP="000B7861">
      <w:pPr>
        <w:pStyle w:val="NoSpacing"/>
        <w:rPr>
          <w:rFonts w:ascii="Times New Roman" w:hAnsi="Times New Roman" w:cs="Times New Roman"/>
          <w:sz w:val="24"/>
          <w:szCs w:val="24"/>
        </w:rPr>
      </w:pPr>
    </w:p>
    <w:p w:rsidR="00FD1BEC" w:rsidRDefault="00FD1BEC" w:rsidP="007F521E">
      <w:pPr>
        <w:pStyle w:val="NoSpacing"/>
        <w:jc w:val="center"/>
        <w:rPr>
          <w:rFonts w:ascii="Times New Roman" w:hAnsi="Times New Roman" w:cs="Times New Roman"/>
          <w:sz w:val="24"/>
          <w:szCs w:val="24"/>
        </w:rPr>
      </w:pPr>
    </w:p>
    <w:p w:rsidR="00E665B4" w:rsidRDefault="00E665B4" w:rsidP="007F521E">
      <w:pPr>
        <w:pStyle w:val="NoSpacing"/>
        <w:jc w:val="center"/>
        <w:rPr>
          <w:rFonts w:ascii="Times New Roman" w:hAnsi="Times New Roman" w:cs="Times New Roman"/>
          <w:b/>
          <w:sz w:val="24"/>
          <w:szCs w:val="24"/>
          <w:u w:val="single"/>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53FB7"/>
    <w:rsid w:val="00065EEA"/>
    <w:rsid w:val="00083E23"/>
    <w:rsid w:val="00096ACC"/>
    <w:rsid w:val="000B7090"/>
    <w:rsid w:val="000B7861"/>
    <w:rsid w:val="000B7E1F"/>
    <w:rsid w:val="00117AC9"/>
    <w:rsid w:val="00146485"/>
    <w:rsid w:val="0017008C"/>
    <w:rsid w:val="00192511"/>
    <w:rsid w:val="00194EC7"/>
    <w:rsid w:val="001C58F8"/>
    <w:rsid w:val="001D1D4D"/>
    <w:rsid w:val="001D1E66"/>
    <w:rsid w:val="00292F42"/>
    <w:rsid w:val="00294F27"/>
    <w:rsid w:val="0038610A"/>
    <w:rsid w:val="003C665E"/>
    <w:rsid w:val="003F1AB3"/>
    <w:rsid w:val="00402C47"/>
    <w:rsid w:val="0040788D"/>
    <w:rsid w:val="00415822"/>
    <w:rsid w:val="00427C5F"/>
    <w:rsid w:val="00474D12"/>
    <w:rsid w:val="004C78E8"/>
    <w:rsid w:val="004E64E2"/>
    <w:rsid w:val="00501AD3"/>
    <w:rsid w:val="00572074"/>
    <w:rsid w:val="005A09B1"/>
    <w:rsid w:val="005C77E2"/>
    <w:rsid w:val="005E5F67"/>
    <w:rsid w:val="006172CD"/>
    <w:rsid w:val="00623AE0"/>
    <w:rsid w:val="00665EC1"/>
    <w:rsid w:val="006752EC"/>
    <w:rsid w:val="00691F74"/>
    <w:rsid w:val="006B0E1B"/>
    <w:rsid w:val="006E623F"/>
    <w:rsid w:val="006E6FE7"/>
    <w:rsid w:val="00745F50"/>
    <w:rsid w:val="00795660"/>
    <w:rsid w:val="007A1049"/>
    <w:rsid w:val="007B101D"/>
    <w:rsid w:val="007F521E"/>
    <w:rsid w:val="00800FEC"/>
    <w:rsid w:val="00817FAD"/>
    <w:rsid w:val="008929B1"/>
    <w:rsid w:val="008A0269"/>
    <w:rsid w:val="008C4698"/>
    <w:rsid w:val="008E3D3C"/>
    <w:rsid w:val="008E3E71"/>
    <w:rsid w:val="009049C5"/>
    <w:rsid w:val="00944A9A"/>
    <w:rsid w:val="009535C7"/>
    <w:rsid w:val="009B0C86"/>
    <w:rsid w:val="009C08CA"/>
    <w:rsid w:val="009D0107"/>
    <w:rsid w:val="009D660E"/>
    <w:rsid w:val="00A055FA"/>
    <w:rsid w:val="00A52E7D"/>
    <w:rsid w:val="00A60A95"/>
    <w:rsid w:val="00A819B7"/>
    <w:rsid w:val="00A856B0"/>
    <w:rsid w:val="00A90432"/>
    <w:rsid w:val="00A936B8"/>
    <w:rsid w:val="00B35172"/>
    <w:rsid w:val="00B55A16"/>
    <w:rsid w:val="00B65556"/>
    <w:rsid w:val="00BB54E1"/>
    <w:rsid w:val="00BC79A1"/>
    <w:rsid w:val="00C215B1"/>
    <w:rsid w:val="00CA41EA"/>
    <w:rsid w:val="00CB456A"/>
    <w:rsid w:val="00CB6EF5"/>
    <w:rsid w:val="00CE5683"/>
    <w:rsid w:val="00CF24B2"/>
    <w:rsid w:val="00D14CAB"/>
    <w:rsid w:val="00D651BB"/>
    <w:rsid w:val="00D73997"/>
    <w:rsid w:val="00DB50C5"/>
    <w:rsid w:val="00E309FF"/>
    <w:rsid w:val="00E665B4"/>
    <w:rsid w:val="00F04F4E"/>
    <w:rsid w:val="00F118A5"/>
    <w:rsid w:val="00F15B86"/>
    <w:rsid w:val="00F60BB4"/>
    <w:rsid w:val="00F8277C"/>
    <w:rsid w:val="00FA1D61"/>
    <w:rsid w:val="00FD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4</cp:revision>
  <cp:lastPrinted>2016-11-18T03:20:00Z</cp:lastPrinted>
  <dcterms:created xsi:type="dcterms:W3CDTF">2020-11-16T20:28:00Z</dcterms:created>
  <dcterms:modified xsi:type="dcterms:W3CDTF">2020-12-09T18:03:00Z</dcterms:modified>
</cp:coreProperties>
</file>